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4"/>
        <w:rPr>
          <w:rFonts w:ascii="Times New Roman"/>
          <w:sz w:val="20"/>
        </w:rPr>
      </w:pPr>
      <w:r>
        <w:rPr>
          <w:rFonts w:ascii="Times New Roman"/>
          <w:sz w:val="20"/>
        </w:rPr>
        <w:drawing>
          <wp:inline distT="0" distB="0" distL="0" distR="0">
            <wp:extent cx="2598908" cy="502920"/>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6" cstate="print"/>
                    <a:stretch>
                      <a:fillRect/>
                    </a:stretch>
                  </pic:blipFill>
                  <pic:spPr>
                    <a:xfrm>
                      <a:off x="0" y="0"/>
                      <a:ext cx="2598908" cy="502920"/>
                    </a:xfrm>
                    <a:prstGeom prst="rect">
                      <a:avLst/>
                    </a:prstGeom>
                  </pic:spPr>
                </pic:pic>
              </a:graphicData>
            </a:graphic>
          </wp:inline>
        </w:drawing>
      </w:r>
      <w:r>
        <w:rPr>
          <w:rFonts w:ascii="Times New Roman"/>
          <w:sz w:val="20"/>
        </w:rPr>
      </w:r>
    </w:p>
    <w:p>
      <w:pPr>
        <w:pStyle w:val="BodyText"/>
        <w:spacing w:before="7"/>
        <w:rPr>
          <w:rFonts w:ascii="Times New Roman"/>
          <w:sz w:val="10"/>
        </w:rPr>
      </w:pPr>
    </w:p>
    <w:p>
      <w:pPr>
        <w:spacing w:before="101"/>
        <w:ind w:left="1775" w:right="0" w:firstLine="0"/>
        <w:jc w:val="left"/>
        <w:rPr>
          <w:rFonts w:ascii="Trebuchet MS"/>
          <w:sz w:val="16"/>
        </w:rPr>
      </w:pPr>
      <w:r>
        <w:rPr>
          <w:rFonts w:ascii="Trebuchet MS"/>
          <w:color w:val="585858"/>
          <w:sz w:val="16"/>
        </w:rPr>
        <w:t>1313 Sherman Street, Room 821</w:t>
      </w:r>
    </w:p>
    <w:p>
      <w:pPr>
        <w:spacing w:before="13"/>
        <w:ind w:left="1775" w:right="0" w:firstLine="0"/>
        <w:jc w:val="left"/>
        <w:rPr>
          <w:rFonts w:ascii="Trebuchet MS"/>
          <w:sz w:val="16"/>
        </w:rPr>
      </w:pPr>
      <w:r>
        <w:rPr>
          <w:rFonts w:ascii="Trebuchet MS"/>
          <w:color w:val="585858"/>
          <w:sz w:val="16"/>
        </w:rPr>
        <w:t>Denver, CO 80203</w:t>
      </w:r>
    </w:p>
    <w:p>
      <w:pPr>
        <w:pStyle w:val="BodyText"/>
        <w:spacing w:before="1"/>
        <w:rPr>
          <w:rFonts w:ascii="Trebuchet MS"/>
          <w:sz w:val="20"/>
        </w:rPr>
      </w:pPr>
    </w:p>
    <w:p>
      <w:pPr>
        <w:pStyle w:val="BodyText"/>
        <w:spacing w:before="94"/>
        <w:ind w:left="220"/>
      </w:pPr>
      <w:r>
        <w:rPr/>
        <w:t>December 4, 2017</w:t>
      </w:r>
    </w:p>
    <w:p>
      <w:pPr>
        <w:pStyle w:val="BodyText"/>
        <w:rPr>
          <w:sz w:val="24"/>
        </w:rPr>
      </w:pPr>
    </w:p>
    <w:p>
      <w:pPr>
        <w:pStyle w:val="BodyText"/>
        <w:spacing w:before="1"/>
        <w:rPr>
          <w:sz w:val="20"/>
        </w:rPr>
      </w:pPr>
    </w:p>
    <w:p>
      <w:pPr>
        <w:pStyle w:val="BodyText"/>
        <w:spacing w:before="1"/>
        <w:ind w:left="220" w:right="4471"/>
      </w:pPr>
      <w:r>
        <w:rPr/>
        <w:t>El Paso County Development Services Department 2880 International Circle, Suite 110</w:t>
      </w:r>
    </w:p>
    <w:p>
      <w:pPr>
        <w:pStyle w:val="BodyText"/>
        <w:spacing w:line="251" w:lineRule="exact"/>
        <w:ind w:left="220"/>
      </w:pPr>
      <w:r>
        <w:rPr/>
        <w:t>Colorado Springs, CO 80910</w:t>
      </w:r>
    </w:p>
    <w:p>
      <w:pPr>
        <w:pStyle w:val="BodyText"/>
      </w:pPr>
    </w:p>
    <w:p>
      <w:pPr>
        <w:pStyle w:val="BodyText"/>
        <w:tabs>
          <w:tab w:pos="1660" w:val="left" w:leader="none"/>
        </w:tabs>
        <w:ind w:left="940"/>
      </w:pPr>
      <w:r>
        <w:rPr/>
        <w:t>RE:</w:t>
        <w:tab/>
        <w:t>Arvidson Subdivision</w:t>
      </w:r>
    </w:p>
    <w:p>
      <w:pPr>
        <w:pStyle w:val="BodyText"/>
        <w:spacing w:line="252" w:lineRule="exact" w:before="1"/>
        <w:ind w:left="1660"/>
      </w:pPr>
      <w:r>
        <w:rPr/>
        <w:t>Sec. 3, Twp. 11S, Rng. 67W, 6</w:t>
      </w:r>
      <w:r>
        <w:rPr>
          <w:vertAlign w:val="superscript"/>
        </w:rPr>
        <w:t>th</w:t>
      </w:r>
      <w:r>
        <w:rPr>
          <w:vertAlign w:val="baseline"/>
        </w:rPr>
        <w:t> P.M.</w:t>
      </w:r>
    </w:p>
    <w:p>
      <w:pPr>
        <w:pStyle w:val="BodyText"/>
        <w:spacing w:line="242" w:lineRule="auto"/>
        <w:ind w:left="1660" w:right="4106"/>
      </w:pPr>
      <w:r>
        <w:rPr/>
        <w:t>Water Division 2, Water District 10 CDWR Assigned Subdivision No. 24143</w:t>
      </w:r>
    </w:p>
    <w:p>
      <w:pPr>
        <w:pStyle w:val="BodyText"/>
        <w:spacing w:before="6"/>
        <w:rPr>
          <w:sz w:val="21"/>
        </w:rPr>
      </w:pPr>
    </w:p>
    <w:p>
      <w:pPr>
        <w:pStyle w:val="BodyText"/>
        <w:spacing w:before="1"/>
        <w:ind w:left="220"/>
      </w:pPr>
      <w:r>
        <w:rPr/>
        <w:t>To Whom It May Concern,</w:t>
      </w:r>
    </w:p>
    <w:p>
      <w:pPr>
        <w:pStyle w:val="BodyText"/>
        <w:spacing w:before="1"/>
        <w:rPr>
          <w:sz w:val="24"/>
        </w:rPr>
      </w:pPr>
    </w:p>
    <w:p>
      <w:pPr>
        <w:pStyle w:val="BodyText"/>
        <w:ind w:left="220" w:right="192" w:firstLine="719"/>
      </w:pPr>
      <w:r>
        <w:rPr/>
        <w:t>We have received the submittal concerning the above referenced proposal to subdivide a 5.45± acres tract of land into two new lots. The first lot would be approximately 2.3 acres, and the second approximately 2.1 acres. Our records indicate that an existing well with Permit No. 25919 is located on the property. The proposed supply of water to the subdivision will be individual on-lot wells for each lot, with wastewater being disposed of through individual on-lot septic disposal systems.</w:t>
      </w:r>
    </w:p>
    <w:p>
      <w:pPr>
        <w:pStyle w:val="BodyText"/>
        <w:spacing w:before="9"/>
        <w:rPr>
          <w:sz w:val="21"/>
        </w:rPr>
      </w:pPr>
    </w:p>
    <w:p>
      <w:pPr>
        <w:pStyle w:val="Heading1"/>
        <w:rPr>
          <w:u w:val="none"/>
        </w:rPr>
      </w:pPr>
      <w:r>
        <w:rPr>
          <w:u w:val="thick"/>
        </w:rPr>
        <w:t>Water Supply Demand</w:t>
      </w:r>
    </w:p>
    <w:p>
      <w:pPr>
        <w:pStyle w:val="BodyText"/>
        <w:rPr>
          <w:b/>
          <w:sz w:val="14"/>
        </w:rPr>
      </w:pPr>
    </w:p>
    <w:p>
      <w:pPr>
        <w:pStyle w:val="BodyText"/>
        <w:spacing w:before="93"/>
        <w:ind w:left="220" w:right="224" w:firstLine="719"/>
      </w:pPr>
      <w:r>
        <w:rPr/>
        <w:t>According to the Water Supply Information Summary received in the submittal, the estimated water demand for the development is 0.7 acre-feet/year/household. Based on the Division 2 Water Court case no. 2016CW3098 this amount breaks down to 0.25 acre-feet/year for in house use, 0.4 acre-feet/year for 8,100 square feet of home gardens and lawns, and 0.05 acre-foot per year for up to 4 large domestic animals.</w:t>
      </w:r>
    </w:p>
    <w:p>
      <w:pPr>
        <w:pStyle w:val="BodyText"/>
        <w:spacing w:before="1"/>
      </w:pPr>
    </w:p>
    <w:p>
      <w:pPr>
        <w:pStyle w:val="BodyText"/>
        <w:spacing w:before="1"/>
        <w:ind w:left="220" w:right="153" w:firstLine="719"/>
      </w:pPr>
      <w:r>
        <w:rPr/>
        <w:t>Please note that standard water use rates, as found in the Guide to Colorado Well Permits, Water Rights, and Water Administration, are 0.3 acre-foot/year for each ordinary household, 0.05 acre-foot/year for four large domestic animals, and 0.05 acre-foot/year for each 1,000 square feet of lawn and garden irrigation.</w:t>
      </w:r>
    </w:p>
    <w:p>
      <w:pPr>
        <w:pStyle w:val="BodyText"/>
        <w:rPr>
          <w:sz w:val="23"/>
        </w:rPr>
      </w:pPr>
    </w:p>
    <w:p>
      <w:pPr>
        <w:pStyle w:val="Heading1"/>
        <w:rPr>
          <w:rFonts w:ascii="Trebuchet MS"/>
          <w:u w:val="none"/>
        </w:rPr>
      </w:pPr>
      <w:r>
        <w:rPr>
          <w:rFonts w:ascii="Trebuchet MS"/>
          <w:u w:val="thick"/>
        </w:rPr>
        <w:t>Source of Water Supply</w:t>
      </w:r>
    </w:p>
    <w:p>
      <w:pPr>
        <w:pStyle w:val="BodyText"/>
        <w:spacing w:before="9"/>
        <w:rPr>
          <w:rFonts w:ascii="Trebuchet MS"/>
          <w:b/>
          <w:sz w:val="14"/>
        </w:rPr>
      </w:pPr>
    </w:p>
    <w:p>
      <w:pPr>
        <w:pStyle w:val="BodyText"/>
        <w:spacing w:before="94"/>
        <w:ind w:left="220" w:right="113" w:firstLine="719"/>
        <w:jc w:val="both"/>
      </w:pPr>
      <w:r>
        <w:rPr/>
        <w:t>The anticipated source of water is to be provided by on-lot wells producing from the Dawson aquifer that will operate pursuant to the augmentation plan decreed by the Division 2 Water Court in case no. 2016CW3098. This case adjudicated water in the Dawson, Denver, Arapahoe and Laramie-Fox Hills aquifers underlying the 5.4 acres of land which make up the entire proposed Arvidson Subdivision.</w:t>
      </w:r>
    </w:p>
    <w:p>
      <w:pPr>
        <w:spacing w:after="0"/>
        <w:jc w:val="both"/>
        <w:sectPr>
          <w:footerReference w:type="default" r:id="rId5"/>
          <w:type w:val="continuous"/>
          <w:pgSz w:w="12240" w:h="15840"/>
          <w:pgMar w:footer="1545" w:top="940" w:bottom="1740" w:left="1220" w:right="1320"/>
        </w:sectPr>
      </w:pPr>
    </w:p>
    <w:p>
      <w:pPr>
        <w:pStyle w:val="BodyText"/>
        <w:rPr>
          <w:sz w:val="20"/>
        </w:rPr>
      </w:pPr>
    </w:p>
    <w:p>
      <w:pPr>
        <w:pStyle w:val="BodyText"/>
        <w:spacing w:before="1"/>
        <w:rPr>
          <w:sz w:val="18"/>
        </w:rPr>
      </w:pPr>
    </w:p>
    <w:p>
      <w:pPr>
        <w:pStyle w:val="BodyText"/>
        <w:spacing w:before="94"/>
        <w:ind w:left="220" w:right="114" w:firstLine="719"/>
        <w:jc w:val="both"/>
      </w:pPr>
      <w:r>
        <w:rPr/>
        <w:t>According to the decrees entered by the Division 2 Water Court in case no. 2016CW3098, the following amounts of water shown in Table 1, below, were determined to be available underlying the 5.4 acre property.</w:t>
      </w:r>
    </w:p>
    <w:p>
      <w:pPr>
        <w:pStyle w:val="BodyText"/>
        <w:spacing w:before="5"/>
        <w:rPr>
          <w:sz w:val="21"/>
        </w:rPr>
      </w:pPr>
    </w:p>
    <w:p>
      <w:pPr>
        <w:pStyle w:val="BodyText"/>
        <w:spacing w:after="11"/>
        <w:ind w:left="3081"/>
        <w:rPr>
          <w:rFonts w:ascii="Trebuchet MS" w:hAnsi="Trebuchet MS"/>
        </w:rPr>
      </w:pPr>
      <w:r>
        <w:rPr>
          <w:rFonts w:ascii="Trebuchet MS" w:hAnsi="Trebuchet MS"/>
          <w:b/>
        </w:rPr>
        <w:t>Table 1 </w:t>
      </w:r>
      <w:r>
        <w:rPr>
          <w:rFonts w:ascii="Trebuchet MS" w:hAnsi="Trebuchet MS"/>
        </w:rPr>
        <w:t>– Denver Basin Ground Water Rights</w:t>
      </w:r>
    </w:p>
    <w:tbl>
      <w:tblPr>
        <w:tblW w:w="0" w:type="auto"/>
        <w:jc w:val="left"/>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3"/>
        <w:gridCol w:w="1186"/>
        <w:gridCol w:w="1350"/>
        <w:gridCol w:w="1621"/>
        <w:gridCol w:w="1533"/>
      </w:tblGrid>
      <w:tr>
        <w:trPr>
          <w:trHeight w:val="1022" w:hRule="atLeast"/>
        </w:trPr>
        <w:tc>
          <w:tcPr>
            <w:tcW w:w="2163" w:type="dxa"/>
          </w:tcPr>
          <w:p>
            <w:pPr>
              <w:pStyle w:val="TableParagraph"/>
              <w:spacing w:line="240" w:lineRule="auto"/>
              <w:ind w:right="0"/>
              <w:jc w:val="left"/>
              <w:rPr>
                <w:sz w:val="32"/>
              </w:rPr>
            </w:pPr>
          </w:p>
          <w:p>
            <w:pPr>
              <w:pStyle w:val="TableParagraph"/>
              <w:spacing w:line="240" w:lineRule="auto"/>
              <w:ind w:left="450" w:right="441"/>
              <w:rPr>
                <w:b/>
                <w:sz w:val="22"/>
              </w:rPr>
            </w:pPr>
            <w:r>
              <w:rPr>
                <w:b/>
                <w:sz w:val="22"/>
              </w:rPr>
              <w:t>Aquifer</w:t>
            </w:r>
          </w:p>
        </w:tc>
        <w:tc>
          <w:tcPr>
            <w:tcW w:w="1186" w:type="dxa"/>
          </w:tcPr>
          <w:p>
            <w:pPr>
              <w:pStyle w:val="TableParagraph"/>
              <w:spacing w:line="240" w:lineRule="auto"/>
              <w:ind w:right="0"/>
              <w:jc w:val="left"/>
              <w:rPr>
                <w:sz w:val="21"/>
              </w:rPr>
            </w:pPr>
          </w:p>
          <w:p>
            <w:pPr>
              <w:pStyle w:val="TableParagraph"/>
              <w:spacing w:line="240" w:lineRule="auto"/>
              <w:ind w:left="275" w:right="81" w:hanging="168"/>
              <w:jc w:val="left"/>
              <w:rPr>
                <w:b/>
                <w:sz w:val="22"/>
              </w:rPr>
            </w:pPr>
            <w:r>
              <w:rPr>
                <w:b/>
                <w:sz w:val="22"/>
              </w:rPr>
              <w:t>Tributary Status</w:t>
            </w:r>
          </w:p>
        </w:tc>
        <w:tc>
          <w:tcPr>
            <w:tcW w:w="1350" w:type="dxa"/>
          </w:tcPr>
          <w:p>
            <w:pPr>
              <w:pStyle w:val="TableParagraph"/>
              <w:spacing w:line="240" w:lineRule="auto"/>
              <w:ind w:right="0"/>
              <w:jc w:val="left"/>
              <w:rPr>
                <w:sz w:val="21"/>
              </w:rPr>
            </w:pPr>
          </w:p>
          <w:p>
            <w:pPr>
              <w:pStyle w:val="TableParagraph"/>
              <w:spacing w:line="240" w:lineRule="auto"/>
              <w:ind w:left="457" w:right="262" w:hanging="171"/>
              <w:jc w:val="left"/>
              <w:rPr>
                <w:b/>
                <w:sz w:val="22"/>
              </w:rPr>
            </w:pPr>
            <w:r>
              <w:rPr>
                <w:b/>
                <w:sz w:val="22"/>
              </w:rPr>
              <w:t>Volume (AF)</w:t>
            </w:r>
          </w:p>
        </w:tc>
        <w:tc>
          <w:tcPr>
            <w:tcW w:w="1621" w:type="dxa"/>
          </w:tcPr>
          <w:p>
            <w:pPr>
              <w:pStyle w:val="TableParagraph"/>
              <w:spacing w:line="240" w:lineRule="auto"/>
              <w:ind w:left="293" w:right="284" w:hanging="3"/>
              <w:rPr>
                <w:b/>
                <w:sz w:val="22"/>
              </w:rPr>
            </w:pPr>
            <w:r>
              <w:rPr>
                <w:b/>
                <w:sz w:val="22"/>
              </w:rPr>
              <w:t>Annual Allocation 100 Year</w:t>
            </w:r>
          </w:p>
          <w:p>
            <w:pPr>
              <w:pStyle w:val="TableParagraph"/>
              <w:spacing w:line="246" w:lineRule="exact"/>
              <w:ind w:left="294" w:right="289"/>
              <w:rPr>
                <w:b/>
                <w:sz w:val="22"/>
              </w:rPr>
            </w:pPr>
            <w:r>
              <w:rPr>
                <w:b/>
                <w:sz w:val="22"/>
              </w:rPr>
              <w:t>(AF/Year)</w:t>
            </w:r>
          </w:p>
        </w:tc>
        <w:tc>
          <w:tcPr>
            <w:tcW w:w="1533" w:type="dxa"/>
          </w:tcPr>
          <w:p>
            <w:pPr>
              <w:pStyle w:val="TableParagraph"/>
              <w:spacing w:line="240" w:lineRule="auto"/>
              <w:ind w:left="247" w:right="243" w:hanging="3"/>
              <w:rPr>
                <w:b/>
                <w:sz w:val="22"/>
              </w:rPr>
            </w:pPr>
            <w:r>
              <w:rPr>
                <w:b/>
                <w:sz w:val="22"/>
              </w:rPr>
              <w:t>Annual Allocation 300 Year</w:t>
            </w:r>
          </w:p>
          <w:p>
            <w:pPr>
              <w:pStyle w:val="TableParagraph"/>
              <w:spacing w:line="246" w:lineRule="exact"/>
              <w:ind w:left="248"/>
              <w:rPr>
                <w:b/>
                <w:sz w:val="22"/>
              </w:rPr>
            </w:pPr>
            <w:r>
              <w:rPr>
                <w:b/>
                <w:sz w:val="22"/>
              </w:rPr>
              <w:t>(AF/Year)</w:t>
            </w:r>
          </w:p>
        </w:tc>
      </w:tr>
      <w:tr>
        <w:trPr>
          <w:trHeight w:val="256" w:hRule="atLeast"/>
        </w:trPr>
        <w:tc>
          <w:tcPr>
            <w:tcW w:w="2163" w:type="dxa"/>
          </w:tcPr>
          <w:p>
            <w:pPr>
              <w:pStyle w:val="TableParagraph"/>
              <w:ind w:left="450" w:right="443"/>
              <w:rPr>
                <w:sz w:val="22"/>
              </w:rPr>
            </w:pPr>
            <w:r>
              <w:rPr>
                <w:sz w:val="22"/>
              </w:rPr>
              <w:t>Dawson</w:t>
            </w:r>
          </w:p>
        </w:tc>
        <w:tc>
          <w:tcPr>
            <w:tcW w:w="1186" w:type="dxa"/>
          </w:tcPr>
          <w:p>
            <w:pPr>
              <w:pStyle w:val="TableParagraph"/>
              <w:ind w:left="367" w:right="359"/>
              <w:rPr>
                <w:sz w:val="22"/>
              </w:rPr>
            </w:pPr>
            <w:r>
              <w:rPr>
                <w:sz w:val="22"/>
              </w:rPr>
              <w:t>NNT</w:t>
            </w:r>
          </w:p>
        </w:tc>
        <w:tc>
          <w:tcPr>
            <w:tcW w:w="1350" w:type="dxa"/>
          </w:tcPr>
          <w:p>
            <w:pPr>
              <w:pStyle w:val="TableParagraph"/>
              <w:ind w:right="491"/>
              <w:jc w:val="right"/>
              <w:rPr>
                <w:sz w:val="22"/>
              </w:rPr>
            </w:pPr>
            <w:r>
              <w:rPr>
                <w:sz w:val="22"/>
              </w:rPr>
              <w:t>421</w:t>
            </w:r>
          </w:p>
        </w:tc>
        <w:tc>
          <w:tcPr>
            <w:tcW w:w="1621" w:type="dxa"/>
          </w:tcPr>
          <w:p>
            <w:pPr>
              <w:pStyle w:val="TableParagraph"/>
              <w:ind w:left="293" w:right="289"/>
              <w:rPr>
                <w:sz w:val="22"/>
              </w:rPr>
            </w:pPr>
            <w:r>
              <w:rPr>
                <w:sz w:val="22"/>
              </w:rPr>
              <w:t>4.2</w:t>
            </w:r>
          </w:p>
        </w:tc>
        <w:tc>
          <w:tcPr>
            <w:tcW w:w="1533" w:type="dxa"/>
          </w:tcPr>
          <w:p>
            <w:pPr>
              <w:pStyle w:val="TableParagraph"/>
              <w:ind w:left="246"/>
              <w:rPr>
                <w:sz w:val="22"/>
              </w:rPr>
            </w:pPr>
            <w:r>
              <w:rPr>
                <w:sz w:val="22"/>
              </w:rPr>
              <w:t>1.4</w:t>
            </w:r>
          </w:p>
        </w:tc>
      </w:tr>
      <w:tr>
        <w:trPr>
          <w:trHeight w:val="254" w:hRule="atLeast"/>
        </w:trPr>
        <w:tc>
          <w:tcPr>
            <w:tcW w:w="2163" w:type="dxa"/>
          </w:tcPr>
          <w:p>
            <w:pPr>
              <w:pStyle w:val="TableParagraph"/>
              <w:spacing w:line="234" w:lineRule="exact"/>
              <w:ind w:left="450" w:right="441"/>
              <w:rPr>
                <w:sz w:val="22"/>
              </w:rPr>
            </w:pPr>
            <w:r>
              <w:rPr>
                <w:sz w:val="22"/>
              </w:rPr>
              <w:t>Denver</w:t>
            </w:r>
          </w:p>
        </w:tc>
        <w:tc>
          <w:tcPr>
            <w:tcW w:w="1186" w:type="dxa"/>
          </w:tcPr>
          <w:p>
            <w:pPr>
              <w:pStyle w:val="TableParagraph"/>
              <w:spacing w:line="234" w:lineRule="exact"/>
              <w:ind w:left="364" w:right="359"/>
              <w:rPr>
                <w:sz w:val="22"/>
              </w:rPr>
            </w:pPr>
            <w:r>
              <w:rPr>
                <w:sz w:val="22"/>
              </w:rPr>
              <w:t>NT</w:t>
            </w:r>
          </w:p>
        </w:tc>
        <w:tc>
          <w:tcPr>
            <w:tcW w:w="1350" w:type="dxa"/>
          </w:tcPr>
          <w:p>
            <w:pPr>
              <w:pStyle w:val="TableParagraph"/>
              <w:spacing w:line="234" w:lineRule="exact"/>
              <w:ind w:right="491"/>
              <w:jc w:val="right"/>
              <w:rPr>
                <w:sz w:val="22"/>
              </w:rPr>
            </w:pPr>
            <w:r>
              <w:rPr>
                <w:sz w:val="22"/>
              </w:rPr>
              <w:t>128</w:t>
            </w:r>
          </w:p>
        </w:tc>
        <w:tc>
          <w:tcPr>
            <w:tcW w:w="1621" w:type="dxa"/>
          </w:tcPr>
          <w:p>
            <w:pPr>
              <w:pStyle w:val="TableParagraph"/>
              <w:spacing w:line="234" w:lineRule="exact"/>
              <w:ind w:left="293" w:right="289"/>
              <w:rPr>
                <w:sz w:val="22"/>
              </w:rPr>
            </w:pPr>
            <w:r>
              <w:rPr>
                <w:sz w:val="22"/>
              </w:rPr>
              <w:t>1.3</w:t>
            </w:r>
          </w:p>
        </w:tc>
        <w:tc>
          <w:tcPr>
            <w:tcW w:w="1533" w:type="dxa"/>
          </w:tcPr>
          <w:p>
            <w:pPr>
              <w:pStyle w:val="TableParagraph"/>
              <w:spacing w:line="234" w:lineRule="exact"/>
              <w:ind w:left="247"/>
              <w:rPr>
                <w:sz w:val="22"/>
              </w:rPr>
            </w:pPr>
            <w:r>
              <w:rPr>
                <w:sz w:val="22"/>
              </w:rPr>
              <w:t>0.43</w:t>
            </w:r>
          </w:p>
        </w:tc>
      </w:tr>
      <w:tr>
        <w:trPr>
          <w:trHeight w:val="256" w:hRule="atLeast"/>
        </w:trPr>
        <w:tc>
          <w:tcPr>
            <w:tcW w:w="2163" w:type="dxa"/>
          </w:tcPr>
          <w:p>
            <w:pPr>
              <w:pStyle w:val="TableParagraph"/>
              <w:ind w:left="450" w:right="443"/>
              <w:rPr>
                <w:sz w:val="22"/>
              </w:rPr>
            </w:pPr>
            <w:r>
              <w:rPr>
                <w:sz w:val="22"/>
              </w:rPr>
              <w:t>Arapahoe</w:t>
            </w:r>
          </w:p>
        </w:tc>
        <w:tc>
          <w:tcPr>
            <w:tcW w:w="1186" w:type="dxa"/>
          </w:tcPr>
          <w:p>
            <w:pPr>
              <w:pStyle w:val="TableParagraph"/>
              <w:ind w:left="364" w:right="359"/>
              <w:rPr>
                <w:sz w:val="22"/>
              </w:rPr>
            </w:pPr>
            <w:r>
              <w:rPr>
                <w:sz w:val="22"/>
              </w:rPr>
              <w:t>NT</w:t>
            </w:r>
          </w:p>
        </w:tc>
        <w:tc>
          <w:tcPr>
            <w:tcW w:w="1350" w:type="dxa"/>
          </w:tcPr>
          <w:p>
            <w:pPr>
              <w:pStyle w:val="TableParagraph"/>
              <w:ind w:right="491"/>
              <w:jc w:val="right"/>
              <w:rPr>
                <w:sz w:val="22"/>
              </w:rPr>
            </w:pPr>
            <w:r>
              <w:rPr>
                <w:sz w:val="22"/>
              </w:rPr>
              <w:t>256</w:t>
            </w:r>
          </w:p>
        </w:tc>
        <w:tc>
          <w:tcPr>
            <w:tcW w:w="1621" w:type="dxa"/>
          </w:tcPr>
          <w:p>
            <w:pPr>
              <w:pStyle w:val="TableParagraph"/>
              <w:ind w:left="293" w:right="289"/>
              <w:rPr>
                <w:sz w:val="22"/>
              </w:rPr>
            </w:pPr>
            <w:r>
              <w:rPr>
                <w:sz w:val="22"/>
              </w:rPr>
              <w:t>2.6</w:t>
            </w:r>
          </w:p>
        </w:tc>
        <w:tc>
          <w:tcPr>
            <w:tcW w:w="1533" w:type="dxa"/>
          </w:tcPr>
          <w:p>
            <w:pPr>
              <w:pStyle w:val="TableParagraph"/>
              <w:ind w:left="247"/>
              <w:rPr>
                <w:sz w:val="22"/>
              </w:rPr>
            </w:pPr>
            <w:r>
              <w:rPr>
                <w:sz w:val="22"/>
              </w:rPr>
              <w:t>0.86</w:t>
            </w:r>
          </w:p>
        </w:tc>
      </w:tr>
      <w:tr>
        <w:trPr>
          <w:trHeight w:val="256" w:hRule="atLeast"/>
        </w:trPr>
        <w:tc>
          <w:tcPr>
            <w:tcW w:w="2163" w:type="dxa"/>
          </w:tcPr>
          <w:p>
            <w:pPr>
              <w:pStyle w:val="TableParagraph"/>
              <w:ind w:left="450" w:right="444"/>
              <w:rPr>
                <w:sz w:val="22"/>
              </w:rPr>
            </w:pPr>
            <w:r>
              <w:rPr>
                <w:sz w:val="22"/>
              </w:rPr>
              <w:t>Laramie-Fox</w:t>
            </w:r>
          </w:p>
        </w:tc>
        <w:tc>
          <w:tcPr>
            <w:tcW w:w="1186" w:type="dxa"/>
          </w:tcPr>
          <w:p>
            <w:pPr>
              <w:pStyle w:val="TableParagraph"/>
              <w:ind w:left="365" w:right="359"/>
              <w:rPr>
                <w:sz w:val="22"/>
              </w:rPr>
            </w:pPr>
            <w:r>
              <w:rPr>
                <w:sz w:val="22"/>
              </w:rPr>
              <w:t>NT</w:t>
            </w:r>
          </w:p>
        </w:tc>
        <w:tc>
          <w:tcPr>
            <w:tcW w:w="1350" w:type="dxa"/>
          </w:tcPr>
          <w:p>
            <w:pPr>
              <w:pStyle w:val="TableParagraph"/>
              <w:ind w:right="491"/>
              <w:jc w:val="right"/>
              <w:rPr>
                <w:sz w:val="22"/>
              </w:rPr>
            </w:pPr>
            <w:r>
              <w:rPr>
                <w:sz w:val="22"/>
              </w:rPr>
              <w:t>143</w:t>
            </w:r>
          </w:p>
        </w:tc>
        <w:tc>
          <w:tcPr>
            <w:tcW w:w="1621" w:type="dxa"/>
          </w:tcPr>
          <w:p>
            <w:pPr>
              <w:pStyle w:val="TableParagraph"/>
              <w:ind w:left="293" w:right="289"/>
              <w:rPr>
                <w:sz w:val="22"/>
              </w:rPr>
            </w:pPr>
            <w:r>
              <w:rPr>
                <w:sz w:val="22"/>
              </w:rPr>
              <w:t>1.4</w:t>
            </w:r>
          </w:p>
        </w:tc>
        <w:tc>
          <w:tcPr>
            <w:tcW w:w="1533" w:type="dxa"/>
          </w:tcPr>
          <w:p>
            <w:pPr>
              <w:pStyle w:val="TableParagraph"/>
              <w:ind w:left="247"/>
              <w:rPr>
                <w:sz w:val="22"/>
              </w:rPr>
            </w:pPr>
            <w:r>
              <w:rPr>
                <w:sz w:val="22"/>
              </w:rPr>
              <w:t>0.48</w:t>
            </w:r>
          </w:p>
        </w:tc>
      </w:tr>
    </w:tbl>
    <w:p>
      <w:pPr>
        <w:pStyle w:val="BodyText"/>
        <w:spacing w:before="7"/>
        <w:rPr>
          <w:rFonts w:ascii="Trebuchet MS"/>
          <w:sz w:val="23"/>
        </w:rPr>
      </w:pPr>
    </w:p>
    <w:p>
      <w:pPr>
        <w:pStyle w:val="BodyText"/>
        <w:ind w:left="220" w:right="114" w:firstLine="719"/>
        <w:jc w:val="both"/>
      </w:pPr>
      <w:r>
        <w:rPr/>
        <w:t>The </w:t>
      </w:r>
      <w:r>
        <w:rPr>
          <w:spacing w:val="-3"/>
        </w:rPr>
        <w:t>plan </w:t>
      </w:r>
      <w:r>
        <w:rPr/>
        <w:t>for </w:t>
      </w:r>
      <w:r>
        <w:rPr>
          <w:spacing w:val="-3"/>
        </w:rPr>
        <w:t>augmentation decreed </w:t>
      </w:r>
      <w:r>
        <w:rPr/>
        <w:t>in </w:t>
      </w:r>
      <w:r>
        <w:rPr>
          <w:spacing w:val="-3"/>
        </w:rPr>
        <w:t>Division </w:t>
      </w:r>
      <w:r>
        <w:rPr/>
        <w:t>2 Water </w:t>
      </w:r>
      <w:r>
        <w:rPr>
          <w:spacing w:val="-3"/>
        </w:rPr>
        <w:t>Court case </w:t>
      </w:r>
      <w:r>
        <w:rPr/>
        <w:t>no. </w:t>
      </w:r>
      <w:r>
        <w:rPr>
          <w:spacing w:val="-4"/>
        </w:rPr>
        <w:t>2016CW3098</w:t>
      </w:r>
      <w:r>
        <w:rPr>
          <w:spacing w:val="52"/>
        </w:rPr>
        <w:t> </w:t>
      </w:r>
      <w:r>
        <w:rPr>
          <w:spacing w:val="-3"/>
        </w:rPr>
        <w:t>allows </w:t>
      </w:r>
      <w:r>
        <w:rPr/>
        <w:t>for </w:t>
      </w:r>
      <w:r>
        <w:rPr>
          <w:spacing w:val="-3"/>
        </w:rPr>
        <w:t>diversion </w:t>
      </w:r>
      <w:r>
        <w:rPr/>
        <w:t>of </w:t>
      </w:r>
      <w:r>
        <w:rPr>
          <w:spacing w:val="-3"/>
        </w:rPr>
        <w:t>1.4 acre-foot annually </w:t>
      </w:r>
      <w:r>
        <w:rPr/>
        <w:t>from the </w:t>
      </w:r>
      <w:r>
        <w:rPr>
          <w:spacing w:val="-4"/>
        </w:rPr>
        <w:t>Dawson </w:t>
      </w:r>
      <w:r>
        <w:rPr/>
        <w:t>aquifer </w:t>
      </w:r>
      <w:r>
        <w:rPr>
          <w:spacing w:val="-3"/>
        </w:rPr>
        <w:t>for </w:t>
      </w:r>
      <w:r>
        <w:rPr/>
        <w:t>a </w:t>
      </w:r>
      <w:r>
        <w:rPr>
          <w:spacing w:val="-3"/>
        </w:rPr>
        <w:t>maximum of </w:t>
      </w:r>
      <w:r>
        <w:rPr/>
        <w:t>300 </w:t>
      </w:r>
      <w:r>
        <w:rPr>
          <w:spacing w:val="-3"/>
        </w:rPr>
        <w:t>years.</w:t>
      </w:r>
    </w:p>
    <w:p>
      <w:pPr>
        <w:pStyle w:val="BodyText"/>
        <w:spacing w:before="3"/>
      </w:pPr>
    </w:p>
    <w:p>
      <w:pPr>
        <w:spacing w:line="237" w:lineRule="auto" w:before="0"/>
        <w:ind w:left="220" w:right="0" w:firstLine="719"/>
        <w:jc w:val="left"/>
        <w:rPr>
          <w:rFonts w:ascii="Trebuchet MS" w:hAnsi="Trebuchet MS"/>
          <w:b/>
          <w:sz w:val="22"/>
        </w:rPr>
      </w:pPr>
      <w:r>
        <w:rPr>
          <w:spacing w:val="-3"/>
          <w:sz w:val="22"/>
        </w:rPr>
        <w:t>Permit No. 25919 was issued </w:t>
      </w:r>
      <w:r>
        <w:rPr>
          <w:sz w:val="22"/>
        </w:rPr>
        <w:t>on </w:t>
      </w:r>
      <w:r>
        <w:rPr>
          <w:spacing w:val="-3"/>
          <w:sz w:val="22"/>
        </w:rPr>
        <w:t>November </w:t>
      </w:r>
      <w:r>
        <w:rPr>
          <w:sz w:val="22"/>
        </w:rPr>
        <w:t>23, </w:t>
      </w:r>
      <w:r>
        <w:rPr>
          <w:spacing w:val="-3"/>
          <w:sz w:val="22"/>
        </w:rPr>
        <w:t>1965 pursuant </w:t>
      </w:r>
      <w:r>
        <w:rPr>
          <w:sz w:val="22"/>
        </w:rPr>
        <w:t>to </w:t>
      </w:r>
      <w:r>
        <w:rPr>
          <w:spacing w:val="-3"/>
          <w:sz w:val="22"/>
        </w:rPr>
        <w:t>CRS 37-92-602 </w:t>
      </w:r>
      <w:r>
        <w:rPr>
          <w:sz w:val="22"/>
        </w:rPr>
        <w:t>to </w:t>
      </w:r>
      <w:r>
        <w:rPr>
          <w:spacing w:val="-3"/>
          <w:sz w:val="22"/>
        </w:rPr>
        <w:t>construct </w:t>
      </w:r>
      <w:r>
        <w:rPr>
          <w:sz w:val="22"/>
        </w:rPr>
        <w:t>a </w:t>
      </w:r>
      <w:r>
        <w:rPr>
          <w:spacing w:val="-4"/>
          <w:sz w:val="22"/>
        </w:rPr>
        <w:t>well </w:t>
      </w:r>
      <w:r>
        <w:rPr>
          <w:sz w:val="22"/>
        </w:rPr>
        <w:t>for </w:t>
      </w:r>
      <w:r>
        <w:rPr>
          <w:spacing w:val="-3"/>
          <w:sz w:val="22"/>
        </w:rPr>
        <w:t>domestic </w:t>
      </w:r>
      <w:r>
        <w:rPr>
          <w:sz w:val="22"/>
        </w:rPr>
        <w:t>and </w:t>
      </w:r>
      <w:r>
        <w:rPr>
          <w:spacing w:val="-3"/>
          <w:sz w:val="22"/>
        </w:rPr>
        <w:t>stock </w:t>
      </w:r>
      <w:r>
        <w:rPr>
          <w:sz w:val="22"/>
        </w:rPr>
        <w:t>use in the SE ¼ </w:t>
      </w:r>
      <w:r>
        <w:rPr>
          <w:spacing w:val="-3"/>
          <w:sz w:val="22"/>
        </w:rPr>
        <w:t>of Section </w:t>
      </w:r>
      <w:r>
        <w:rPr>
          <w:sz w:val="22"/>
        </w:rPr>
        <w:t>3, </w:t>
      </w:r>
      <w:r>
        <w:rPr>
          <w:spacing w:val="-3"/>
          <w:sz w:val="22"/>
        </w:rPr>
        <w:t>Twp 3S, Rng </w:t>
      </w:r>
      <w:r>
        <w:rPr>
          <w:sz w:val="22"/>
        </w:rPr>
        <w:t>67W, 6</w:t>
      </w:r>
      <w:r>
        <w:rPr>
          <w:sz w:val="22"/>
          <w:vertAlign w:val="superscript"/>
        </w:rPr>
        <w:t>th</w:t>
      </w:r>
      <w:r>
        <w:rPr>
          <w:sz w:val="22"/>
          <w:vertAlign w:val="baseline"/>
        </w:rPr>
        <w:t> </w:t>
      </w:r>
      <w:r>
        <w:rPr>
          <w:spacing w:val="-4"/>
          <w:sz w:val="22"/>
          <w:vertAlign w:val="baseline"/>
        </w:rPr>
        <w:t>P.M. </w:t>
      </w:r>
      <w:r>
        <w:rPr>
          <w:sz w:val="22"/>
          <w:vertAlign w:val="baseline"/>
        </w:rPr>
        <w:t>Our </w:t>
      </w:r>
      <w:r>
        <w:rPr>
          <w:spacing w:val="-3"/>
          <w:sz w:val="22"/>
          <w:vertAlign w:val="baseline"/>
        </w:rPr>
        <w:t>records show </w:t>
      </w:r>
      <w:r>
        <w:rPr>
          <w:sz w:val="22"/>
          <w:vertAlign w:val="baseline"/>
        </w:rPr>
        <w:t>that the </w:t>
      </w:r>
      <w:r>
        <w:rPr>
          <w:spacing w:val="-3"/>
          <w:sz w:val="22"/>
          <w:vertAlign w:val="baseline"/>
        </w:rPr>
        <w:t>well was constructed </w:t>
      </w:r>
      <w:r>
        <w:rPr>
          <w:sz w:val="22"/>
          <w:vertAlign w:val="baseline"/>
        </w:rPr>
        <w:t>on </w:t>
      </w:r>
      <w:r>
        <w:rPr>
          <w:spacing w:val="-3"/>
          <w:sz w:val="22"/>
          <w:vertAlign w:val="baseline"/>
        </w:rPr>
        <w:t>December </w:t>
      </w:r>
      <w:r>
        <w:rPr>
          <w:sz w:val="22"/>
          <w:vertAlign w:val="baseline"/>
        </w:rPr>
        <w:t>2, </w:t>
      </w:r>
      <w:r>
        <w:rPr>
          <w:spacing w:val="-3"/>
          <w:sz w:val="22"/>
          <w:vertAlign w:val="baseline"/>
        </w:rPr>
        <w:t>1965. </w:t>
      </w:r>
      <w:r>
        <w:rPr>
          <w:sz w:val="22"/>
          <w:vertAlign w:val="baseline"/>
        </w:rPr>
        <w:t>It </w:t>
      </w:r>
      <w:r>
        <w:rPr>
          <w:spacing w:val="-3"/>
          <w:sz w:val="22"/>
          <w:vertAlign w:val="baseline"/>
        </w:rPr>
        <w:t>appears </w:t>
      </w:r>
      <w:r>
        <w:rPr>
          <w:sz w:val="22"/>
          <w:vertAlign w:val="baseline"/>
        </w:rPr>
        <w:t>that the </w:t>
      </w:r>
      <w:r>
        <w:rPr>
          <w:spacing w:val="-4"/>
          <w:sz w:val="22"/>
          <w:vertAlign w:val="baseline"/>
        </w:rPr>
        <w:t>well </w:t>
      </w:r>
      <w:r>
        <w:rPr>
          <w:sz w:val="22"/>
          <w:vertAlign w:val="baseline"/>
        </w:rPr>
        <w:t>is </w:t>
      </w:r>
      <w:r>
        <w:rPr>
          <w:spacing w:val="-3"/>
          <w:sz w:val="22"/>
          <w:vertAlign w:val="baseline"/>
        </w:rPr>
        <w:t>located </w:t>
      </w:r>
      <w:r>
        <w:rPr>
          <w:sz w:val="22"/>
          <w:vertAlign w:val="baseline"/>
        </w:rPr>
        <w:t>on the </w:t>
      </w:r>
      <w:r>
        <w:rPr>
          <w:spacing w:val="-3"/>
          <w:sz w:val="22"/>
          <w:vertAlign w:val="baseline"/>
        </w:rPr>
        <w:t>property </w:t>
      </w:r>
      <w:r>
        <w:rPr>
          <w:sz w:val="22"/>
          <w:vertAlign w:val="baseline"/>
        </w:rPr>
        <w:t>and the </w:t>
      </w:r>
      <w:r>
        <w:rPr>
          <w:spacing w:val="-3"/>
          <w:sz w:val="22"/>
          <w:vertAlign w:val="baseline"/>
        </w:rPr>
        <w:t>applicant </w:t>
      </w:r>
      <w:r>
        <w:rPr>
          <w:sz w:val="22"/>
          <w:vertAlign w:val="baseline"/>
        </w:rPr>
        <w:t>has </w:t>
      </w:r>
      <w:r>
        <w:rPr>
          <w:spacing w:val="-3"/>
          <w:sz w:val="22"/>
          <w:vertAlign w:val="baseline"/>
        </w:rPr>
        <w:t>proposed </w:t>
      </w:r>
      <w:r>
        <w:rPr>
          <w:sz w:val="22"/>
          <w:vertAlign w:val="baseline"/>
        </w:rPr>
        <w:t>to </w:t>
      </w:r>
      <w:r>
        <w:rPr>
          <w:spacing w:val="-3"/>
          <w:sz w:val="22"/>
          <w:vertAlign w:val="baseline"/>
        </w:rPr>
        <w:t>continue </w:t>
      </w:r>
      <w:r>
        <w:rPr>
          <w:sz w:val="22"/>
          <w:vertAlign w:val="baseline"/>
        </w:rPr>
        <w:t>to </w:t>
      </w:r>
      <w:r>
        <w:rPr>
          <w:spacing w:val="-3"/>
          <w:sz w:val="22"/>
          <w:vertAlign w:val="baseline"/>
        </w:rPr>
        <w:t>utilize </w:t>
      </w:r>
      <w:r>
        <w:rPr>
          <w:sz w:val="22"/>
          <w:vertAlign w:val="baseline"/>
        </w:rPr>
        <w:t>the </w:t>
      </w:r>
      <w:r>
        <w:rPr>
          <w:spacing w:val="-3"/>
          <w:sz w:val="22"/>
          <w:vertAlign w:val="baseline"/>
        </w:rPr>
        <w:t>existing well pursuant </w:t>
      </w:r>
      <w:r>
        <w:rPr>
          <w:sz w:val="22"/>
          <w:vertAlign w:val="baseline"/>
        </w:rPr>
        <w:t>to the </w:t>
      </w:r>
      <w:r>
        <w:rPr>
          <w:spacing w:val="-3"/>
          <w:sz w:val="22"/>
          <w:vertAlign w:val="baseline"/>
        </w:rPr>
        <w:t>decreed plan </w:t>
      </w:r>
      <w:r>
        <w:rPr>
          <w:sz w:val="22"/>
          <w:vertAlign w:val="baseline"/>
        </w:rPr>
        <w:t>for </w:t>
      </w:r>
      <w:r>
        <w:rPr>
          <w:spacing w:val="-3"/>
          <w:sz w:val="22"/>
          <w:vertAlign w:val="baseline"/>
        </w:rPr>
        <w:t>augmentation. </w:t>
      </w:r>
      <w:r>
        <w:rPr>
          <w:b/>
          <w:sz w:val="22"/>
          <w:vertAlign w:val="baseline"/>
        </w:rPr>
        <w:t>This will </w:t>
      </w:r>
      <w:r>
        <w:rPr>
          <w:b/>
          <w:spacing w:val="-3"/>
          <w:sz w:val="22"/>
          <w:vertAlign w:val="baseline"/>
        </w:rPr>
        <w:t>require </w:t>
      </w:r>
      <w:r>
        <w:rPr>
          <w:b/>
          <w:sz w:val="22"/>
          <w:vertAlign w:val="baseline"/>
        </w:rPr>
        <w:t>that </w:t>
      </w:r>
      <w:r>
        <w:rPr>
          <w:rFonts w:ascii="Trebuchet MS" w:hAnsi="Trebuchet MS"/>
          <w:b/>
          <w:sz w:val="22"/>
          <w:vertAlign w:val="baseline"/>
        </w:rPr>
        <w:t>the applicant apply for, and obtain a new well permits issued pursuant to Section 37-90-137(2) C.R.S.</w:t>
      </w:r>
    </w:p>
    <w:p>
      <w:pPr>
        <w:pStyle w:val="BodyText"/>
        <w:spacing w:before="11"/>
        <w:rPr>
          <w:rFonts w:ascii="Trebuchet MS"/>
          <w:b/>
        </w:rPr>
      </w:pPr>
    </w:p>
    <w:p>
      <w:pPr>
        <w:pStyle w:val="BodyText"/>
        <w:ind w:left="220" w:right="109" w:firstLine="719"/>
        <w:jc w:val="both"/>
      </w:pPr>
      <w:r>
        <w:rPr/>
        <w:t>The </w:t>
      </w:r>
      <w:r>
        <w:rPr>
          <w:spacing w:val="-3"/>
        </w:rPr>
        <w:t>proposed source of water </w:t>
      </w:r>
      <w:r>
        <w:rPr/>
        <w:t>for </w:t>
      </w:r>
      <w:r>
        <w:rPr>
          <w:spacing w:val="-3"/>
        </w:rPr>
        <w:t>this subdivision </w:t>
      </w:r>
      <w:r>
        <w:rPr/>
        <w:t>is a </w:t>
      </w:r>
      <w:r>
        <w:rPr>
          <w:spacing w:val="-3"/>
        </w:rPr>
        <w:t>bedrock aquifer </w:t>
      </w:r>
      <w:r>
        <w:rPr/>
        <w:t>in </w:t>
      </w:r>
      <w:r>
        <w:rPr>
          <w:spacing w:val="-3"/>
        </w:rPr>
        <w:t>the Denver Basin. </w:t>
      </w:r>
      <w:r>
        <w:rPr/>
        <w:t>The </w:t>
      </w:r>
      <w:r>
        <w:rPr>
          <w:spacing w:val="-3"/>
        </w:rPr>
        <w:t>State Engineer’s Office does </w:t>
      </w:r>
      <w:r>
        <w:rPr/>
        <w:t>not </w:t>
      </w:r>
      <w:r>
        <w:rPr>
          <w:spacing w:val="-3"/>
        </w:rPr>
        <w:t>have evidence regarding </w:t>
      </w:r>
      <w:r>
        <w:rPr/>
        <w:t>the </w:t>
      </w:r>
      <w:r>
        <w:rPr>
          <w:spacing w:val="-3"/>
        </w:rPr>
        <w:t>length of </w:t>
      </w:r>
      <w:r>
        <w:rPr/>
        <w:t>time for </w:t>
      </w:r>
      <w:r>
        <w:rPr>
          <w:spacing w:val="-4"/>
        </w:rPr>
        <w:t>which </w:t>
      </w:r>
      <w:r>
        <w:rPr>
          <w:spacing w:val="-3"/>
        </w:rPr>
        <w:t>this</w:t>
      </w:r>
      <w:r>
        <w:rPr>
          <w:spacing w:val="55"/>
        </w:rPr>
        <w:t> </w:t>
      </w:r>
      <w:r>
        <w:rPr>
          <w:spacing w:val="-3"/>
        </w:rPr>
        <w:t>source will </w:t>
      </w:r>
      <w:r>
        <w:rPr/>
        <w:t>be a </w:t>
      </w:r>
      <w:r>
        <w:rPr>
          <w:spacing w:val="-3"/>
        </w:rPr>
        <w:t>physically </w:t>
      </w:r>
      <w:r>
        <w:rPr/>
        <w:t>and </w:t>
      </w:r>
      <w:r>
        <w:rPr>
          <w:spacing w:val="-3"/>
        </w:rPr>
        <w:t>economically viable source </w:t>
      </w:r>
      <w:r>
        <w:rPr/>
        <w:t>of </w:t>
      </w:r>
      <w:r>
        <w:rPr>
          <w:spacing w:val="-3"/>
        </w:rPr>
        <w:t>water. According </w:t>
      </w:r>
      <w:r>
        <w:rPr/>
        <w:t>to 37-90- </w:t>
      </w:r>
      <w:r>
        <w:rPr>
          <w:spacing w:val="-3"/>
        </w:rPr>
        <w:t>137(4)(b)(I), C.R.S., “Permits issued pursuant </w:t>
      </w:r>
      <w:r>
        <w:rPr/>
        <w:t>to </w:t>
      </w:r>
      <w:r>
        <w:rPr>
          <w:spacing w:val="-3"/>
        </w:rPr>
        <w:t>this subsection </w:t>
      </w:r>
      <w:r>
        <w:rPr/>
        <w:t>(4) </w:t>
      </w:r>
      <w:r>
        <w:rPr>
          <w:spacing w:val="-3"/>
        </w:rPr>
        <w:t>shall </w:t>
      </w:r>
      <w:r>
        <w:rPr/>
        <w:t>allow </w:t>
      </w:r>
      <w:r>
        <w:rPr>
          <w:spacing w:val="-3"/>
        </w:rPr>
        <w:t>withdrawals </w:t>
      </w:r>
      <w:r>
        <w:rPr/>
        <w:t>on the </w:t>
      </w:r>
      <w:r>
        <w:rPr>
          <w:spacing w:val="-3"/>
        </w:rPr>
        <w:t>basis </w:t>
      </w:r>
      <w:r>
        <w:rPr/>
        <w:t>of an </w:t>
      </w:r>
      <w:r>
        <w:rPr>
          <w:spacing w:val="-3"/>
        </w:rPr>
        <w:t>aquifer </w:t>
      </w:r>
      <w:r>
        <w:rPr/>
        <w:t>life </w:t>
      </w:r>
      <w:r>
        <w:rPr>
          <w:spacing w:val="-3"/>
        </w:rPr>
        <w:t>of </w:t>
      </w:r>
      <w:r>
        <w:rPr/>
        <w:t>one </w:t>
      </w:r>
      <w:r>
        <w:rPr>
          <w:spacing w:val="-3"/>
        </w:rPr>
        <w:t>hundred years.” Based </w:t>
      </w:r>
      <w:r>
        <w:rPr/>
        <w:t>on </w:t>
      </w:r>
      <w:r>
        <w:rPr>
          <w:spacing w:val="-3"/>
        </w:rPr>
        <w:t>this </w:t>
      </w:r>
      <w:r>
        <w:rPr>
          <w:b/>
          <w:spacing w:val="-3"/>
          <w:u w:val="thick"/>
        </w:rPr>
        <w:t>allocation</w:t>
      </w:r>
      <w:r>
        <w:rPr>
          <w:b/>
          <w:spacing w:val="-3"/>
        </w:rPr>
        <w:t> </w:t>
      </w:r>
      <w:r>
        <w:rPr>
          <w:spacing w:val="-3"/>
        </w:rPr>
        <w:t>approach, </w:t>
      </w:r>
      <w:r>
        <w:rPr/>
        <w:t>the </w:t>
      </w:r>
      <w:r>
        <w:rPr>
          <w:spacing w:val="-3"/>
        </w:rPr>
        <w:t>annual amounts of water decreed </w:t>
      </w:r>
      <w:r>
        <w:rPr/>
        <w:t>is equal to one </w:t>
      </w:r>
      <w:r>
        <w:rPr>
          <w:spacing w:val="-3"/>
        </w:rPr>
        <w:t>percent </w:t>
      </w:r>
      <w:r>
        <w:rPr/>
        <w:t>of the </w:t>
      </w:r>
      <w:r>
        <w:rPr>
          <w:spacing w:val="-3"/>
        </w:rPr>
        <w:t>total amount available </w:t>
      </w:r>
      <w:r>
        <w:rPr/>
        <w:t>as </w:t>
      </w:r>
      <w:r>
        <w:rPr>
          <w:spacing w:val="-3"/>
        </w:rPr>
        <w:t>determined </w:t>
      </w:r>
      <w:r>
        <w:rPr/>
        <w:t>by </w:t>
      </w:r>
      <w:r>
        <w:rPr>
          <w:spacing w:val="-3"/>
        </w:rPr>
        <w:t>Rules </w:t>
      </w:r>
      <w:r>
        <w:rPr/>
        <w:t>8.A and 8.B </w:t>
      </w:r>
      <w:r>
        <w:rPr>
          <w:spacing w:val="-3"/>
        </w:rPr>
        <w:t>of </w:t>
      </w:r>
      <w:r>
        <w:rPr/>
        <w:t>the </w:t>
      </w:r>
      <w:r>
        <w:rPr>
          <w:spacing w:val="-3"/>
        </w:rPr>
        <w:t>Statewide Nontributary Ground Water Rules, </w:t>
      </w:r>
      <w:r>
        <w:rPr/>
        <w:t>2 </w:t>
      </w:r>
      <w:r>
        <w:rPr>
          <w:spacing w:val="-3"/>
        </w:rPr>
        <w:t>CCR </w:t>
      </w:r>
      <w:r>
        <w:rPr/>
        <w:t>402-7. </w:t>
      </w:r>
      <w:r>
        <w:rPr>
          <w:spacing w:val="-3"/>
        </w:rPr>
        <w:t>Therefore, </w:t>
      </w:r>
      <w:r>
        <w:rPr/>
        <w:t>the </w:t>
      </w:r>
      <w:r>
        <w:rPr>
          <w:spacing w:val="-3"/>
        </w:rPr>
        <w:t>water </w:t>
      </w:r>
      <w:r>
        <w:rPr/>
        <w:t>may be </w:t>
      </w:r>
      <w:r>
        <w:rPr>
          <w:spacing w:val="-3"/>
        </w:rPr>
        <w:t>withdrawn </w:t>
      </w:r>
      <w:r>
        <w:rPr/>
        <w:t>in </w:t>
      </w:r>
      <w:r>
        <w:rPr>
          <w:spacing w:val="-3"/>
        </w:rPr>
        <w:t>those amounts </w:t>
      </w:r>
      <w:r>
        <w:rPr/>
        <w:t>for a </w:t>
      </w:r>
      <w:r>
        <w:rPr>
          <w:spacing w:val="-3"/>
        </w:rPr>
        <w:t>maximum </w:t>
      </w:r>
      <w:r>
        <w:rPr/>
        <w:t>of 100 </w:t>
      </w:r>
      <w:r>
        <w:rPr>
          <w:spacing w:val="-3"/>
        </w:rPr>
        <w:t>years.</w:t>
      </w:r>
    </w:p>
    <w:p>
      <w:pPr>
        <w:pStyle w:val="BodyText"/>
        <w:spacing w:before="1"/>
      </w:pPr>
    </w:p>
    <w:p>
      <w:pPr>
        <w:pStyle w:val="BodyText"/>
        <w:ind w:left="220" w:right="117" w:firstLine="719"/>
        <w:jc w:val="both"/>
      </w:pPr>
      <w:r>
        <w:rPr/>
        <w:t>In the El Paso County Land Development Code, effective November, 1986, Chapter 5, Section 49.5, (D), (2) states:</w:t>
      </w:r>
    </w:p>
    <w:p>
      <w:pPr>
        <w:pStyle w:val="BodyText"/>
        <w:spacing w:before="11"/>
        <w:rPr>
          <w:sz w:val="21"/>
        </w:rPr>
      </w:pPr>
    </w:p>
    <w:p>
      <w:pPr>
        <w:pStyle w:val="BodyText"/>
        <w:ind w:left="940" w:right="834"/>
        <w:jc w:val="both"/>
      </w:pPr>
      <w:r>
        <w:rPr>
          <w:spacing w:val="-3"/>
        </w:rPr>
        <w:t>“-Finding of Sufficient Quantity </w:t>
      </w:r>
      <w:r>
        <w:rPr/>
        <w:t>– The </w:t>
      </w:r>
      <w:r>
        <w:rPr>
          <w:spacing w:val="-3"/>
        </w:rPr>
        <w:t>water supply shall </w:t>
      </w:r>
      <w:r>
        <w:rPr/>
        <w:t>be </w:t>
      </w:r>
      <w:r>
        <w:rPr>
          <w:spacing w:val="-3"/>
        </w:rPr>
        <w:t>of sufficient quantity </w:t>
      </w:r>
      <w:r>
        <w:rPr/>
        <w:t>to meet the </w:t>
      </w:r>
      <w:r>
        <w:rPr>
          <w:spacing w:val="-3"/>
        </w:rPr>
        <w:t>average annual demand </w:t>
      </w:r>
      <w:r>
        <w:rPr/>
        <w:t>of the </w:t>
      </w:r>
      <w:r>
        <w:rPr>
          <w:spacing w:val="-3"/>
        </w:rPr>
        <w:t>proposed subdivision </w:t>
      </w:r>
      <w:r>
        <w:rPr/>
        <w:t>for a </w:t>
      </w:r>
      <w:r>
        <w:rPr>
          <w:spacing w:val="-3"/>
        </w:rPr>
        <w:t>period </w:t>
      </w:r>
      <w:r>
        <w:rPr/>
        <w:t>of three </w:t>
      </w:r>
      <w:r>
        <w:rPr>
          <w:spacing w:val="-3"/>
        </w:rPr>
        <w:t>hundred (300) years.”</w:t>
      </w:r>
    </w:p>
    <w:p>
      <w:pPr>
        <w:pStyle w:val="BodyText"/>
        <w:spacing w:before="1"/>
      </w:pPr>
    </w:p>
    <w:p>
      <w:pPr>
        <w:pStyle w:val="BodyText"/>
        <w:ind w:left="220" w:right="116" w:firstLine="719"/>
        <w:jc w:val="both"/>
      </w:pPr>
      <w:r>
        <w:rPr/>
        <w:t>The </w:t>
      </w:r>
      <w:r>
        <w:rPr>
          <w:spacing w:val="-3"/>
        </w:rPr>
        <w:t>State Engineer’s Office does </w:t>
      </w:r>
      <w:r>
        <w:rPr/>
        <w:t>not have </w:t>
      </w:r>
      <w:r>
        <w:rPr>
          <w:spacing w:val="-3"/>
        </w:rPr>
        <w:t>evidence regarding </w:t>
      </w:r>
      <w:r>
        <w:rPr/>
        <w:t>the length </w:t>
      </w:r>
      <w:r>
        <w:rPr>
          <w:spacing w:val="-3"/>
        </w:rPr>
        <w:t>of </w:t>
      </w:r>
      <w:r>
        <w:rPr/>
        <w:t>time for </w:t>
      </w:r>
      <w:r>
        <w:rPr>
          <w:spacing w:val="-3"/>
        </w:rPr>
        <w:t>which this source will </w:t>
      </w:r>
      <w:r>
        <w:rPr/>
        <w:t>“meet the </w:t>
      </w:r>
      <w:r>
        <w:rPr>
          <w:spacing w:val="-3"/>
        </w:rPr>
        <w:t>average annual demand </w:t>
      </w:r>
      <w:r>
        <w:rPr/>
        <w:t>of the </w:t>
      </w:r>
      <w:r>
        <w:rPr>
          <w:spacing w:val="-3"/>
        </w:rPr>
        <w:t>proposed  subdivision.”  However, treating </w:t>
      </w:r>
      <w:r>
        <w:rPr/>
        <w:t>El </w:t>
      </w:r>
      <w:r>
        <w:rPr>
          <w:spacing w:val="-3"/>
        </w:rPr>
        <w:t>Paso County’s requirement </w:t>
      </w:r>
      <w:r>
        <w:rPr/>
        <w:t>as an </w:t>
      </w:r>
      <w:r>
        <w:rPr>
          <w:b/>
          <w:spacing w:val="-3"/>
          <w:u w:val="thick"/>
        </w:rPr>
        <w:t>allocation</w:t>
      </w:r>
      <w:r>
        <w:rPr>
          <w:b/>
          <w:spacing w:val="-3"/>
        </w:rPr>
        <w:t> </w:t>
      </w:r>
      <w:r>
        <w:rPr>
          <w:spacing w:val="-3"/>
        </w:rPr>
        <w:t>approach based </w:t>
      </w:r>
      <w:r>
        <w:rPr/>
        <w:t>on three </w:t>
      </w:r>
      <w:r>
        <w:rPr>
          <w:spacing w:val="-3"/>
        </w:rPr>
        <w:t>hundred years, </w:t>
      </w:r>
      <w:r>
        <w:rPr/>
        <w:t>the </w:t>
      </w:r>
      <w:r>
        <w:rPr>
          <w:spacing w:val="-3"/>
        </w:rPr>
        <w:t>annual estimated demand, </w:t>
      </w:r>
      <w:r>
        <w:rPr/>
        <w:t>for the </w:t>
      </w:r>
      <w:r>
        <w:rPr>
          <w:spacing w:val="-3"/>
        </w:rPr>
        <w:t>entire subdivision, </w:t>
      </w:r>
      <w:r>
        <w:rPr/>
        <w:t>is 2.0 </w:t>
      </w:r>
      <w:r>
        <w:rPr>
          <w:spacing w:val="-3"/>
        </w:rPr>
        <w:t>acre-feet </w:t>
      </w:r>
      <w:r>
        <w:rPr/>
        <w:t>as </w:t>
      </w:r>
      <w:r>
        <w:rPr>
          <w:spacing w:val="-3"/>
        </w:rPr>
        <w:t>allowed </w:t>
      </w:r>
      <w:r>
        <w:rPr/>
        <w:t>by</w:t>
      </w:r>
      <w:r>
        <w:rPr>
          <w:spacing w:val="0"/>
        </w:rPr>
        <w:t> </w:t>
      </w:r>
      <w:r>
        <w:rPr/>
        <w:t>the</w:t>
      </w:r>
    </w:p>
    <w:p>
      <w:pPr>
        <w:spacing w:after="0"/>
        <w:jc w:val="both"/>
        <w:sectPr>
          <w:headerReference w:type="default" r:id="rId7"/>
          <w:pgSz w:w="12240" w:h="15840"/>
          <w:pgMar w:header="580" w:footer="1545" w:top="1060" w:bottom="1740" w:left="1220" w:right="1320"/>
          <w:pgNumType w:start="2"/>
        </w:sectPr>
      </w:pPr>
    </w:p>
    <w:p>
      <w:pPr>
        <w:pStyle w:val="BodyText"/>
        <w:spacing w:before="11"/>
        <w:rPr>
          <w:sz w:val="15"/>
        </w:rPr>
      </w:pPr>
    </w:p>
    <w:p>
      <w:pPr>
        <w:pStyle w:val="BodyText"/>
        <w:tabs>
          <w:tab w:pos="2354" w:val="left" w:leader="none"/>
        </w:tabs>
        <w:spacing w:before="93"/>
        <w:ind w:left="220" w:right="192"/>
      </w:pPr>
      <w:r>
        <w:rPr>
          <w:spacing w:val="-3"/>
        </w:rPr>
        <w:t>augmentation </w:t>
      </w:r>
      <w:r>
        <w:rPr>
          <w:spacing w:val="3"/>
        </w:rPr>
        <w:t> </w:t>
      </w:r>
      <w:r>
        <w:rPr>
          <w:spacing w:val="-3"/>
        </w:rPr>
        <w:t>plan.</w:t>
        <w:tab/>
      </w:r>
      <w:r>
        <w:rPr/>
        <w:t>As a </w:t>
      </w:r>
      <w:r>
        <w:rPr>
          <w:spacing w:val="-3"/>
        </w:rPr>
        <w:t>result, </w:t>
      </w:r>
      <w:r>
        <w:rPr/>
        <w:t>the </w:t>
      </w:r>
      <w:r>
        <w:rPr>
          <w:spacing w:val="-3"/>
        </w:rPr>
        <w:t>water may </w:t>
      </w:r>
      <w:r>
        <w:rPr/>
        <w:t>be </w:t>
      </w:r>
      <w:r>
        <w:rPr>
          <w:spacing w:val="-3"/>
        </w:rPr>
        <w:t>withdrawn </w:t>
      </w:r>
      <w:r>
        <w:rPr/>
        <w:t>in that </w:t>
      </w:r>
      <w:r>
        <w:rPr>
          <w:spacing w:val="-3"/>
        </w:rPr>
        <w:t>annual amount </w:t>
      </w:r>
      <w:r>
        <w:rPr/>
        <w:t>for a </w:t>
      </w:r>
      <w:r>
        <w:rPr>
          <w:spacing w:val="-3"/>
        </w:rPr>
        <w:t>maximum </w:t>
      </w:r>
      <w:r>
        <w:rPr/>
        <w:t>of 300</w:t>
      </w:r>
      <w:r>
        <w:rPr>
          <w:spacing w:val="-7"/>
        </w:rPr>
        <w:t> </w:t>
      </w:r>
      <w:r>
        <w:rPr>
          <w:spacing w:val="-3"/>
        </w:rPr>
        <w:t>years.</w:t>
      </w:r>
    </w:p>
    <w:p>
      <w:pPr>
        <w:pStyle w:val="BodyText"/>
        <w:spacing w:before="2"/>
        <w:rPr>
          <w:sz w:val="21"/>
        </w:rPr>
      </w:pPr>
    </w:p>
    <w:p>
      <w:pPr>
        <w:pStyle w:val="Heading1"/>
        <w:rPr>
          <w:rFonts w:ascii="Trebuchet MS" w:hAnsi="Trebuchet MS"/>
          <w:u w:val="none"/>
        </w:rPr>
      </w:pPr>
      <w:r>
        <w:rPr>
          <w:rFonts w:ascii="Times New Roman" w:hAnsi="Times New Roman"/>
          <w:b w:val="0"/>
          <w:spacing w:val="-56"/>
          <w:w w:val="100"/>
          <w:u w:val="none"/>
        </w:rPr>
        <w:t> </w:t>
      </w:r>
      <w:r>
        <w:rPr>
          <w:rFonts w:ascii="Trebuchet MS" w:hAnsi="Trebuchet MS"/>
          <w:u w:val="thick"/>
        </w:rPr>
        <w:t>State Engineer’s Office Opinion</w:t>
      </w:r>
    </w:p>
    <w:p>
      <w:pPr>
        <w:pStyle w:val="BodyText"/>
        <w:spacing w:before="9"/>
        <w:rPr>
          <w:rFonts w:ascii="Trebuchet MS"/>
          <w:b/>
          <w:sz w:val="14"/>
        </w:rPr>
      </w:pPr>
    </w:p>
    <w:p>
      <w:pPr>
        <w:pStyle w:val="BodyText"/>
        <w:spacing w:before="94"/>
        <w:ind w:left="220" w:right="112" w:firstLine="719"/>
        <w:jc w:val="both"/>
      </w:pPr>
      <w:r>
        <w:rPr>
          <w:spacing w:val="-3"/>
        </w:rPr>
        <w:t>Based </w:t>
      </w:r>
      <w:r>
        <w:rPr/>
        <w:t>on the </w:t>
      </w:r>
      <w:r>
        <w:rPr>
          <w:spacing w:val="-3"/>
        </w:rPr>
        <w:t>above, </w:t>
      </w:r>
      <w:r>
        <w:rPr/>
        <w:t>it is our </w:t>
      </w:r>
      <w:r>
        <w:rPr>
          <w:spacing w:val="-3"/>
        </w:rPr>
        <w:t>opinion, </w:t>
      </w:r>
      <w:r>
        <w:rPr/>
        <w:t>pursuant to </w:t>
      </w:r>
      <w:r>
        <w:rPr>
          <w:spacing w:val="-3"/>
        </w:rPr>
        <w:t>CRS 30-28-136(1)(h)(I), </w:t>
      </w:r>
      <w:r>
        <w:rPr/>
        <w:t>that </w:t>
      </w:r>
      <w:r>
        <w:rPr>
          <w:spacing w:val="-3"/>
        </w:rPr>
        <w:t>the anticipated water supply </w:t>
      </w:r>
      <w:r>
        <w:rPr/>
        <w:t>can be </w:t>
      </w:r>
      <w:r>
        <w:rPr>
          <w:spacing w:val="-3"/>
        </w:rPr>
        <w:t>provided without causing material injury </w:t>
      </w:r>
      <w:r>
        <w:rPr/>
        <w:t>to </w:t>
      </w:r>
      <w:r>
        <w:rPr>
          <w:spacing w:val="-3"/>
        </w:rPr>
        <w:t>decreed water </w:t>
      </w:r>
      <w:r>
        <w:rPr/>
        <w:t>rights  so </w:t>
      </w:r>
      <w:r>
        <w:rPr>
          <w:spacing w:val="-3"/>
        </w:rPr>
        <w:t>long </w:t>
      </w:r>
      <w:r>
        <w:rPr/>
        <w:t>as the </w:t>
      </w:r>
      <w:r>
        <w:rPr>
          <w:spacing w:val="-3"/>
        </w:rPr>
        <w:t>applicant obtains well permits issued pursuant </w:t>
      </w:r>
      <w:r>
        <w:rPr/>
        <w:t>to </w:t>
      </w:r>
      <w:r>
        <w:rPr>
          <w:spacing w:val="-3"/>
        </w:rPr>
        <w:t>C.R.S. 37-90-137(2) </w:t>
      </w:r>
      <w:r>
        <w:rPr/>
        <w:t>and the </w:t>
      </w:r>
      <w:r>
        <w:rPr>
          <w:spacing w:val="-3"/>
        </w:rPr>
        <w:t>plan </w:t>
      </w:r>
      <w:r>
        <w:rPr/>
        <w:t>for </w:t>
      </w:r>
      <w:r>
        <w:rPr>
          <w:spacing w:val="-3"/>
        </w:rPr>
        <w:t>augmentation </w:t>
      </w:r>
      <w:r>
        <w:rPr/>
        <w:t>noted </w:t>
      </w:r>
      <w:r>
        <w:rPr>
          <w:spacing w:val="-3"/>
        </w:rPr>
        <w:t>herein, </w:t>
      </w:r>
      <w:r>
        <w:rPr/>
        <w:t>for </w:t>
      </w:r>
      <w:r>
        <w:rPr>
          <w:spacing w:val="-3"/>
        </w:rPr>
        <w:t>all wells </w:t>
      </w:r>
      <w:r>
        <w:rPr/>
        <w:t>in the </w:t>
      </w:r>
      <w:r>
        <w:rPr>
          <w:spacing w:val="-3"/>
        </w:rPr>
        <w:t>subdivision </w:t>
      </w:r>
      <w:r>
        <w:rPr/>
        <w:t>and </w:t>
      </w:r>
      <w:r>
        <w:rPr>
          <w:spacing w:val="-3"/>
        </w:rPr>
        <w:t>operates </w:t>
      </w:r>
      <w:r>
        <w:rPr/>
        <w:t>the </w:t>
      </w:r>
      <w:r>
        <w:rPr>
          <w:spacing w:val="-3"/>
        </w:rPr>
        <w:t>wells </w:t>
      </w:r>
      <w:r>
        <w:rPr/>
        <w:t>in </w:t>
      </w:r>
      <w:r>
        <w:rPr>
          <w:spacing w:val="-3"/>
        </w:rPr>
        <w:t>accordance with </w:t>
      </w:r>
      <w:r>
        <w:rPr/>
        <w:t>the </w:t>
      </w:r>
      <w:r>
        <w:rPr>
          <w:spacing w:val="-3"/>
        </w:rPr>
        <w:t>terms </w:t>
      </w:r>
      <w:r>
        <w:rPr/>
        <w:t>and </w:t>
      </w:r>
      <w:r>
        <w:rPr>
          <w:spacing w:val="-3"/>
        </w:rPr>
        <w:t>conditions </w:t>
      </w:r>
      <w:r>
        <w:rPr/>
        <w:t>of any </w:t>
      </w:r>
      <w:r>
        <w:rPr>
          <w:spacing w:val="-3"/>
        </w:rPr>
        <w:t>future well</w:t>
      </w:r>
      <w:r>
        <w:rPr>
          <w:spacing w:val="-20"/>
        </w:rPr>
        <w:t> </w:t>
      </w:r>
      <w:r>
        <w:rPr>
          <w:spacing w:val="-3"/>
        </w:rPr>
        <w:t>permits.</w:t>
      </w:r>
    </w:p>
    <w:p>
      <w:pPr>
        <w:pStyle w:val="BodyText"/>
        <w:spacing w:before="8"/>
        <w:rPr>
          <w:sz w:val="21"/>
        </w:rPr>
      </w:pPr>
    </w:p>
    <w:p>
      <w:pPr>
        <w:pStyle w:val="BodyText"/>
        <w:spacing w:line="242" w:lineRule="auto"/>
        <w:ind w:left="220" w:right="117" w:firstLine="719"/>
        <w:jc w:val="both"/>
      </w:pPr>
      <w:r>
        <w:rPr/>
        <w:t>Our opinion that the water supply is </w:t>
      </w:r>
      <w:r>
        <w:rPr>
          <w:b/>
        </w:rPr>
        <w:t>adequate </w:t>
      </w:r>
      <w:r>
        <w:rPr/>
        <w:t>is based on our determination that the amount of water required annually to serve the subdivision is currently physically available, based on current estimated aquifer conditions.</w:t>
      </w:r>
    </w:p>
    <w:p>
      <w:pPr>
        <w:pStyle w:val="BodyText"/>
        <w:spacing w:before="5"/>
        <w:rPr>
          <w:sz w:val="21"/>
        </w:rPr>
      </w:pPr>
    </w:p>
    <w:p>
      <w:pPr>
        <w:pStyle w:val="BodyText"/>
        <w:ind w:left="220" w:right="115" w:firstLine="719"/>
        <w:jc w:val="both"/>
      </w:pPr>
      <w:r>
        <w:rPr/>
        <w:t>Our opinion that the water supply can be </w:t>
      </w:r>
      <w:r>
        <w:rPr>
          <w:b/>
        </w:rPr>
        <w:t>provided without causing injury </w:t>
      </w:r>
      <w:r>
        <w:rPr/>
        <w:t>is based on our determination that the amount of water that is legally available on an annual basis, according to the statutory </w:t>
      </w:r>
      <w:r>
        <w:rPr>
          <w:b/>
          <w:u w:val="thick"/>
        </w:rPr>
        <w:t>allocation</w:t>
      </w:r>
      <w:r>
        <w:rPr>
          <w:b/>
        </w:rPr>
        <w:t> </w:t>
      </w:r>
      <w:r>
        <w:rPr/>
        <w:t>approach, for the proposed uses is greater than the annual amount of water required to supply the demands of the proposed</w:t>
      </w:r>
      <w:r>
        <w:rPr>
          <w:spacing w:val="-13"/>
        </w:rPr>
        <w:t> </w:t>
      </w:r>
      <w:r>
        <w:rPr/>
        <w:t>subdivision.</w:t>
      </w:r>
    </w:p>
    <w:p>
      <w:pPr>
        <w:pStyle w:val="BodyText"/>
        <w:spacing w:before="3"/>
      </w:pPr>
    </w:p>
    <w:p>
      <w:pPr>
        <w:pStyle w:val="BodyText"/>
        <w:ind w:left="220"/>
      </w:pPr>
      <w:r>
        <w:rPr/>
        <w:t>Our opinion is qualified by the following:</w:t>
      </w:r>
    </w:p>
    <w:p>
      <w:pPr>
        <w:pStyle w:val="BodyText"/>
      </w:pPr>
    </w:p>
    <w:p>
      <w:pPr>
        <w:pStyle w:val="BodyText"/>
        <w:ind w:left="220" w:right="117" w:firstLine="719"/>
        <w:jc w:val="both"/>
      </w:pPr>
      <w:r>
        <w:rPr/>
        <w:t>The Division 2 Water Court has retained jurisdiction over the final amount of water available pursuant to the above-referenced decrees, pending actual geophysical data from the aquifer.</w:t>
      </w:r>
    </w:p>
    <w:p>
      <w:pPr>
        <w:pStyle w:val="BodyText"/>
        <w:spacing w:before="8"/>
        <w:rPr>
          <w:sz w:val="21"/>
        </w:rPr>
      </w:pPr>
    </w:p>
    <w:p>
      <w:pPr>
        <w:pStyle w:val="Heading1"/>
        <w:ind w:right="113" w:firstLine="719"/>
        <w:jc w:val="both"/>
        <w:rPr>
          <w:rFonts w:ascii="Trebuchet MS"/>
          <w:u w:val="none"/>
        </w:rPr>
      </w:pPr>
      <w:r>
        <w:rPr>
          <w:u w:val="none"/>
        </w:rPr>
        <w:t>The amounts of water in the Denver Basin aquifers, and identified in Division 2 Water Court case no. 2017CW3098, was calculated based on estimated current aquifer conditions. For planning purposes the county should be aware that the economic life of  a water supply based on wells in a given Denver Basin aquifer may be less than the 300 years used for </w:t>
      </w:r>
      <w:r>
        <w:rPr>
          <w:u w:val="thick"/>
        </w:rPr>
        <w:t>allocation</w:t>
      </w:r>
      <w:r>
        <w:rPr>
          <w:u w:val="none"/>
        </w:rPr>
        <w:t> due to anticipated water level declines. We recommend that the county determine whether it is appropriate to require development of renewable water resources for this subdivision to provide for a long-term water supply. Furthermore, that applicant will </w:t>
      </w:r>
      <w:r>
        <w:rPr>
          <w:spacing w:val="-3"/>
          <w:u w:val="none"/>
        </w:rPr>
        <w:t>need </w:t>
      </w:r>
      <w:r>
        <w:rPr>
          <w:u w:val="none"/>
        </w:rPr>
        <w:t>to </w:t>
      </w:r>
      <w:r>
        <w:rPr>
          <w:rFonts w:ascii="Trebuchet MS"/>
          <w:u w:val="none"/>
        </w:rPr>
        <w:t>apply for, and obtain a new well permits issued pursuant to Section 37-90-137(2) C.R.S.</w:t>
      </w:r>
    </w:p>
    <w:p>
      <w:pPr>
        <w:pStyle w:val="BodyText"/>
        <w:spacing w:before="2"/>
        <w:rPr>
          <w:rFonts w:ascii="Trebuchet MS"/>
          <w:b/>
        </w:rPr>
      </w:pPr>
    </w:p>
    <w:p>
      <w:pPr>
        <w:pStyle w:val="BodyText"/>
        <w:ind w:left="220" w:right="192"/>
      </w:pPr>
      <w:r>
        <w:rPr/>
        <w:t>Should you or the applicant have questions regarding any of the above, please contact me at this office.</w:t>
      </w:r>
    </w:p>
    <w:p>
      <w:pPr>
        <w:pStyle w:val="BodyText"/>
        <w:spacing w:before="11"/>
        <w:rPr>
          <w:sz w:val="21"/>
        </w:rPr>
      </w:pPr>
    </w:p>
    <w:p>
      <w:pPr>
        <w:pStyle w:val="BodyText"/>
        <w:ind w:left="220"/>
      </w:pPr>
      <w:r>
        <w:rPr/>
        <w:drawing>
          <wp:anchor distT="0" distB="0" distL="0" distR="0" allowOverlap="1" layoutInCell="1" locked="0" behindDoc="0" simplePos="0" relativeHeight="0">
            <wp:simplePos x="0" y="0"/>
            <wp:positionH relativeFrom="page">
              <wp:posOffset>847725</wp:posOffset>
            </wp:positionH>
            <wp:positionV relativeFrom="paragraph">
              <wp:posOffset>228953</wp:posOffset>
            </wp:positionV>
            <wp:extent cx="1461488" cy="534924"/>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461488" cy="534924"/>
                    </a:xfrm>
                    <a:prstGeom prst="rect">
                      <a:avLst/>
                    </a:prstGeom>
                  </pic:spPr>
                </pic:pic>
              </a:graphicData>
            </a:graphic>
          </wp:anchor>
        </w:drawing>
      </w:r>
      <w:r>
        <w:rPr/>
        <w:t>Sincerely,</w:t>
      </w:r>
    </w:p>
    <w:p>
      <w:pPr>
        <w:pStyle w:val="BodyText"/>
        <w:spacing w:line="252" w:lineRule="exact" w:before="33"/>
        <w:ind w:left="220"/>
      </w:pPr>
      <w:r>
        <w:rPr/>
        <w:t>Ivan Franco, P.E.</w:t>
      </w:r>
    </w:p>
    <w:p>
      <w:pPr>
        <w:pStyle w:val="BodyText"/>
        <w:spacing w:line="252" w:lineRule="exact"/>
        <w:ind w:left="220"/>
      </w:pPr>
      <w:r>
        <w:rPr/>
        <w:t>Water Resource Engineer</w:t>
      </w:r>
    </w:p>
    <w:p>
      <w:pPr>
        <w:spacing w:after="0" w:line="252" w:lineRule="exact"/>
        <w:sectPr>
          <w:pgSz w:w="12240" w:h="15840"/>
          <w:pgMar w:header="580" w:footer="1545" w:top="1060" w:bottom="1740" w:left="1220" w:right="1320"/>
        </w:sectPr>
      </w:pPr>
    </w:p>
    <w:p>
      <w:pPr>
        <w:pStyle w:val="BodyText"/>
        <w:rPr>
          <w:sz w:val="16"/>
        </w:rPr>
      </w:pPr>
    </w:p>
    <w:p>
      <w:pPr>
        <w:tabs>
          <w:tab w:pos="940" w:val="left" w:leader="none"/>
        </w:tabs>
        <w:spacing w:before="93"/>
        <w:ind w:left="220" w:right="0" w:firstLine="0"/>
        <w:jc w:val="left"/>
        <w:rPr>
          <w:sz w:val="20"/>
        </w:rPr>
      </w:pPr>
      <w:r>
        <w:rPr>
          <w:sz w:val="20"/>
        </w:rPr>
        <w:t>cc:</w:t>
        <w:tab/>
        <w:t>Steve Witte, Division 2 Engineer (via</w:t>
      </w:r>
      <w:r>
        <w:rPr>
          <w:spacing w:val="-8"/>
          <w:sz w:val="20"/>
        </w:rPr>
        <w:t> </w:t>
      </w:r>
      <w:r>
        <w:rPr>
          <w:sz w:val="20"/>
        </w:rPr>
        <w:t>email)</w:t>
      </w:r>
    </w:p>
    <w:p>
      <w:pPr>
        <w:spacing w:before="0"/>
        <w:ind w:left="940" w:right="0" w:firstLine="0"/>
        <w:jc w:val="left"/>
        <w:rPr>
          <w:sz w:val="20"/>
        </w:rPr>
      </w:pPr>
      <w:r>
        <w:rPr>
          <w:sz w:val="20"/>
        </w:rPr>
        <w:t>Doug Hollister, District 10 Water Commissioner (via email)</w:t>
      </w:r>
    </w:p>
    <w:sectPr>
      <w:pgSz w:w="12240" w:h="15840"/>
      <w:pgMar w:header="580" w:footer="1545" w:top="1060" w:bottom="174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391">
          <wp:simplePos x="0" y="0"/>
          <wp:positionH relativeFrom="page">
            <wp:posOffset>6546850</wp:posOffset>
          </wp:positionH>
          <wp:positionV relativeFrom="page">
            <wp:posOffset>8950337</wp:posOffset>
          </wp:positionV>
          <wp:extent cx="727709" cy="73151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27709" cy="731519"/>
                  </a:xfrm>
                  <a:prstGeom prst="rect">
                    <a:avLst/>
                  </a:prstGeom>
                </pic:spPr>
              </pic:pic>
            </a:graphicData>
          </a:graphic>
        </wp:anchor>
      </w:drawing>
    </w:r>
    <w:r>
      <w:rPr/>
      <w:drawing>
        <wp:anchor distT="0" distB="0" distL="0" distR="0" allowOverlap="1" layoutInCell="1" locked="0" behindDoc="1" simplePos="0" relativeHeight="268429415">
          <wp:simplePos x="0" y="0"/>
          <wp:positionH relativeFrom="page">
            <wp:posOffset>6400800</wp:posOffset>
          </wp:positionH>
          <wp:positionV relativeFrom="page">
            <wp:posOffset>9160523</wp:posOffset>
          </wp:positionV>
          <wp:extent cx="15239" cy="34543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5239" cy="34543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0.823997pt;margin-top:728.226746pt;width:400.55pt;height:11.35pt;mso-position-horizontal-relative:page;mso-position-vertical-relative:page;z-index:-6016" type="#_x0000_t202" filled="false" stroked="false">
          <v:textbox inset="0,0,0,0">
            <w:txbxContent>
              <w:p>
                <w:pPr>
                  <w:tabs>
                    <w:tab w:pos="5164" w:val="left" w:leader="none"/>
                  </w:tabs>
                  <w:spacing w:before="20"/>
                  <w:ind w:left="20" w:right="0" w:firstLine="0"/>
                  <w:jc w:val="left"/>
                  <w:rPr>
                    <w:rFonts w:ascii="Trebuchet MS"/>
                    <w:sz w:val="16"/>
                  </w:rPr>
                </w:pPr>
                <w:r>
                  <w:rPr>
                    <w:rFonts w:ascii="Trebuchet MS"/>
                    <w:color w:val="585858"/>
                    <w:sz w:val="16"/>
                  </w:rPr>
                  <w:t>1313 Sherman Street, Room 821, Denver, CO 80203 </w:t>
                </w:r>
                <w:r>
                  <w:rPr>
                    <w:rFonts w:ascii="Trebuchet MS"/>
                    <w:color w:val="585858"/>
                    <w:spacing w:val="38"/>
                    <w:sz w:val="16"/>
                  </w:rPr>
                  <w:t> </w:t>
                </w:r>
                <w:r>
                  <w:rPr>
                    <w:rFonts w:ascii="Trebuchet MS"/>
                    <w:color w:val="585858"/>
                    <w:sz w:val="16"/>
                  </w:rPr>
                  <w:t>P</w:t>
                </w:r>
                <w:r>
                  <w:rPr>
                    <w:rFonts w:ascii="Trebuchet MS"/>
                    <w:color w:val="585858"/>
                    <w:spacing w:val="-4"/>
                    <w:sz w:val="16"/>
                  </w:rPr>
                  <w:t> </w:t>
                </w:r>
                <w:r>
                  <w:rPr>
                    <w:rFonts w:ascii="Trebuchet MS"/>
                    <w:color w:val="585858"/>
                    <w:sz w:val="16"/>
                  </w:rPr>
                  <w:t>303.866.3581</w:t>
                  <w:tab/>
                  <w:t>F 303.866.2223</w:t>
                </w:r>
                <w:r>
                  <w:rPr>
                    <w:rFonts w:ascii="Trebuchet MS"/>
                    <w:color w:val="585858"/>
                    <w:spacing w:val="-16"/>
                    <w:sz w:val="16"/>
                  </w:rPr>
                  <w:t> </w:t>
                </w:r>
                <w:hyperlink r:id="rId3">
                  <w:r>
                    <w:rPr>
                      <w:rFonts w:ascii="Trebuchet MS"/>
                      <w:color w:val="585858"/>
                      <w:sz w:val="16"/>
                    </w:rPr>
                    <w:t>www.water.state.co.us</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28.005781pt;width:125.5pt;height:26.95pt;mso-position-horizontal-relative:page;mso-position-vertical-relative:page;z-index:-5992" type="#_x0000_t202" filled="false" stroked="false">
          <v:textbox inset="0,0,0,0">
            <w:txbxContent>
              <w:p>
                <w:pPr>
                  <w:pStyle w:val="BodyText"/>
                  <w:spacing w:before="13"/>
                  <w:ind w:left="20" w:right="-1"/>
                </w:pPr>
                <w:r>
                  <w:rPr/>
                  <w:t>RE: Arvidson Subdivision December 4, 2017</w:t>
                </w:r>
              </w:p>
            </w:txbxContent>
          </v:textbox>
          <w10:wrap type="none"/>
        </v:shape>
      </w:pict>
    </w:r>
    <w:r>
      <w:rPr/>
      <w:pict>
        <v:shape style="position:absolute;margin-left:468.179993pt;margin-top:28.005781pt;width:38.1pt;height:14.35pt;mso-position-horizontal-relative:page;mso-position-vertical-relative:page;z-index:-5968" type="#_x0000_t202" filled="false" stroked="false">
          <v:textbox inset="0,0,0,0">
            <w:txbxContent>
              <w:p>
                <w:pPr>
                  <w:pStyle w:val="BodyText"/>
                  <w:spacing w:before="13"/>
                  <w:ind w:left="20"/>
                </w:pPr>
                <w:r>
                  <w:rPr/>
                  <w:t>Page </w:t>
                </w:r>
                <w:r>
                  <w:rPr/>
                  <w:fldChar w:fldCharType="begin"/>
                </w:r>
                <w:r>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220"/>
      <w:outlineLvl w:val="1"/>
    </w:pPr>
    <w:rPr>
      <w:rFonts w:ascii="Arial" w:hAnsi="Arial" w:eastAsia="Arial" w:cs="Arial"/>
      <w:b/>
      <w:bCs/>
      <w:sz w:val="22"/>
      <w:szCs w:val="22"/>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36" w:lineRule="exact"/>
      <w:ind w:right="247"/>
      <w:jc w:val="center"/>
    </w:pPr>
    <w:rPr>
      <w:rFonts w:ascii="Trebuchet MS" w:hAnsi="Trebuchet MS" w:eastAsia="Trebuchet MS" w:cs="Trebuchet MS"/>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www.water.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dcterms:created xsi:type="dcterms:W3CDTF">2017-12-05T14:41:48Z</dcterms:created>
  <dcterms:modified xsi:type="dcterms:W3CDTF">2017-12-05T14:41:48Z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Microsoft® Office Word 2007</vt:lpwstr>
  </property>
  <property fmtid="{D5CDD505-2E9C-101B-9397-08002B2CF9AE}" pid="4" name="LastSaved">
    <vt:filetime>2017-12-05T00:00:00Z</vt:filetime>
  </property>
</Properties>
</file>