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EC73" w14:textId="3D7CF26B" w:rsidR="00194E3F" w:rsidRPr="00375C77" w:rsidRDefault="00194E3F" w:rsidP="00194E3F">
      <w:pPr>
        <w:spacing w:after="0" w:line="240" w:lineRule="auto"/>
        <w:jc w:val="center"/>
        <w:rPr>
          <w:rFonts w:eastAsia="Times New Roman" w:cstheme="minorHAnsi"/>
          <w:b/>
          <w:bCs/>
          <w:sz w:val="32"/>
          <w:szCs w:val="32"/>
          <w:u w:val="single"/>
        </w:rPr>
      </w:pPr>
      <w:r w:rsidRPr="00375C77">
        <w:rPr>
          <w:rFonts w:eastAsia="Times New Roman" w:cstheme="minorHAnsi"/>
          <w:b/>
          <w:bCs/>
          <w:sz w:val="32"/>
          <w:szCs w:val="32"/>
          <w:u w:val="single"/>
        </w:rPr>
        <w:t xml:space="preserve">CROSSROADS NORTH </w:t>
      </w:r>
      <w:r w:rsidR="00D35E3E" w:rsidRPr="00375C77">
        <w:rPr>
          <w:rFonts w:eastAsia="Times New Roman" w:cstheme="minorHAnsi"/>
          <w:b/>
          <w:bCs/>
          <w:sz w:val="32"/>
          <w:szCs w:val="32"/>
          <w:u w:val="single"/>
        </w:rPr>
        <w:t>MAP AMENDMENT (</w:t>
      </w:r>
      <w:r w:rsidRPr="00375C77">
        <w:rPr>
          <w:rFonts w:eastAsia="Times New Roman" w:cstheme="minorHAnsi"/>
          <w:b/>
          <w:bCs/>
          <w:sz w:val="32"/>
          <w:szCs w:val="32"/>
          <w:u w:val="single"/>
        </w:rPr>
        <w:t>REZON</w:t>
      </w:r>
      <w:r w:rsidR="00D35E3E" w:rsidRPr="00375C77">
        <w:rPr>
          <w:rFonts w:eastAsia="Times New Roman" w:cstheme="minorHAnsi"/>
          <w:b/>
          <w:bCs/>
          <w:sz w:val="32"/>
          <w:szCs w:val="32"/>
          <w:u w:val="single"/>
        </w:rPr>
        <w:t>ING)</w:t>
      </w:r>
    </w:p>
    <w:p w14:paraId="19152E75" w14:textId="773E789A" w:rsidR="00194E3F" w:rsidRPr="00375C77" w:rsidRDefault="00194E3F" w:rsidP="00194E3F">
      <w:pPr>
        <w:spacing w:after="0" w:line="240" w:lineRule="auto"/>
        <w:jc w:val="center"/>
        <w:rPr>
          <w:rFonts w:eastAsia="Times New Roman" w:cstheme="minorHAnsi"/>
          <w:b/>
          <w:bCs/>
          <w:sz w:val="32"/>
          <w:szCs w:val="32"/>
          <w:u w:val="single"/>
        </w:rPr>
      </w:pPr>
      <w:r w:rsidRPr="00375C77">
        <w:rPr>
          <w:rFonts w:eastAsia="Times New Roman" w:cstheme="minorHAnsi"/>
          <w:b/>
          <w:bCs/>
          <w:sz w:val="32"/>
          <w:szCs w:val="32"/>
          <w:u w:val="single"/>
        </w:rPr>
        <w:t>LETTER OF INTENT</w:t>
      </w:r>
    </w:p>
    <w:p w14:paraId="32A59B4A" w14:textId="43A201B7" w:rsidR="00194E3F" w:rsidRPr="00375C77" w:rsidRDefault="005D2B02" w:rsidP="00194E3F">
      <w:pPr>
        <w:spacing w:after="0" w:line="240" w:lineRule="auto"/>
        <w:jc w:val="center"/>
        <w:rPr>
          <w:rFonts w:eastAsia="Times New Roman" w:cstheme="minorHAnsi"/>
          <w:b/>
          <w:bCs/>
          <w:sz w:val="32"/>
          <w:szCs w:val="32"/>
          <w:u w:val="single"/>
        </w:rPr>
      </w:pPr>
      <w:r>
        <w:rPr>
          <w:rFonts w:eastAsia="Times New Roman" w:cstheme="minorHAnsi"/>
          <w:b/>
          <w:bCs/>
          <w:sz w:val="32"/>
          <w:szCs w:val="32"/>
          <w:u w:val="single"/>
        </w:rPr>
        <w:t>(Revised November 17, 2020)</w:t>
      </w:r>
    </w:p>
    <w:p w14:paraId="2C7D730E" w14:textId="77777777" w:rsidR="00194E3F" w:rsidRPr="00375C77" w:rsidRDefault="00194E3F" w:rsidP="00194E3F">
      <w:pPr>
        <w:spacing w:after="0" w:line="240" w:lineRule="auto"/>
        <w:jc w:val="center"/>
        <w:rPr>
          <w:rFonts w:eastAsia="Times New Roman" w:cstheme="minorHAnsi"/>
          <w:b/>
          <w:bCs/>
          <w:sz w:val="32"/>
          <w:szCs w:val="32"/>
          <w:u w:val="single"/>
        </w:rPr>
      </w:pPr>
    </w:p>
    <w:p w14:paraId="4807C44E" w14:textId="60BD0ED5" w:rsidR="00776757" w:rsidRPr="00375C77" w:rsidRDefault="00776757" w:rsidP="00E752A3">
      <w:pPr>
        <w:spacing w:after="0" w:line="240" w:lineRule="auto"/>
        <w:rPr>
          <w:rFonts w:eastAsia="Times New Roman" w:cstheme="minorHAnsi"/>
          <w:b/>
          <w:bCs/>
          <w:sz w:val="22"/>
          <w:u w:val="single"/>
        </w:rPr>
      </w:pPr>
      <w:r w:rsidRPr="00375C77">
        <w:rPr>
          <w:rFonts w:eastAsia="Times New Roman" w:cstheme="minorHAnsi"/>
          <w:b/>
          <w:bCs/>
          <w:sz w:val="22"/>
          <w:u w:val="single"/>
        </w:rPr>
        <w:t>APPLICANT-OWNER/CONSULTANT INFORMATION:</w:t>
      </w:r>
    </w:p>
    <w:p w14:paraId="01082460" w14:textId="65033B53" w:rsidR="00E752A3" w:rsidRPr="00375C77" w:rsidRDefault="001D4192" w:rsidP="00776757">
      <w:pPr>
        <w:spacing w:after="0" w:line="240" w:lineRule="auto"/>
        <w:ind w:left="720"/>
        <w:rPr>
          <w:rFonts w:eastAsia="Times New Roman" w:cstheme="minorHAnsi"/>
          <w:b/>
          <w:bCs/>
          <w:sz w:val="22"/>
          <w:u w:val="single"/>
        </w:rPr>
      </w:pPr>
      <w:r w:rsidRPr="00375C77">
        <w:rPr>
          <w:rFonts w:eastAsia="Times New Roman" w:cstheme="minorHAnsi"/>
          <w:b/>
          <w:bCs/>
          <w:sz w:val="22"/>
          <w:u w:val="single"/>
        </w:rPr>
        <w:t xml:space="preserve">OWNER </w:t>
      </w:r>
    </w:p>
    <w:p w14:paraId="6B86C591" w14:textId="6EEAD363"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COLORADO SPRINGS EQUITIES, LLC</w:t>
      </w:r>
    </w:p>
    <w:p w14:paraId="41BC669D" w14:textId="1744BE76"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90 S. CASCADE AVENUE, SUITE 1500</w:t>
      </w:r>
    </w:p>
    <w:p w14:paraId="434B7E86" w14:textId="543BA143"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COLORADO SPRINGS, CO 80903</w:t>
      </w:r>
    </w:p>
    <w:p w14:paraId="0EA66C59" w14:textId="6FA0813B" w:rsidR="001D4192" w:rsidRPr="00375C77" w:rsidRDefault="001D4192" w:rsidP="00776757">
      <w:pPr>
        <w:spacing w:after="0" w:line="240" w:lineRule="auto"/>
        <w:ind w:left="720"/>
        <w:rPr>
          <w:rFonts w:eastAsia="Times New Roman" w:cstheme="minorHAnsi"/>
          <w:sz w:val="22"/>
        </w:rPr>
      </w:pPr>
    </w:p>
    <w:p w14:paraId="7B8AA5A6" w14:textId="4C798066" w:rsidR="001D4192" w:rsidRPr="00375C77" w:rsidRDefault="001D4192" w:rsidP="00776757">
      <w:pPr>
        <w:spacing w:after="0" w:line="240" w:lineRule="auto"/>
        <w:ind w:left="720"/>
        <w:rPr>
          <w:rFonts w:eastAsia="Times New Roman" w:cstheme="minorHAnsi"/>
          <w:b/>
          <w:bCs/>
          <w:sz w:val="22"/>
          <w:u w:val="single"/>
        </w:rPr>
      </w:pPr>
      <w:r w:rsidRPr="00375C77">
        <w:rPr>
          <w:rFonts w:eastAsia="Times New Roman" w:cstheme="minorHAnsi"/>
          <w:b/>
          <w:bCs/>
          <w:sz w:val="22"/>
          <w:u w:val="single"/>
        </w:rPr>
        <w:t>PLANNING</w:t>
      </w:r>
    </w:p>
    <w:p w14:paraId="6C3F95C7" w14:textId="5DFE559B"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KIMLEY-HORN &amp; ASSOCIATES</w:t>
      </w:r>
    </w:p>
    <w:p w14:paraId="0126F4DA" w14:textId="6668792C"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2. NORTH NEVADA AVENUE, SUITE 300</w:t>
      </w:r>
    </w:p>
    <w:p w14:paraId="50FD7116" w14:textId="1ABC3C53"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COLORADO SPRINGS, CO 80903</w:t>
      </w:r>
    </w:p>
    <w:p w14:paraId="42630249" w14:textId="6B5B84F5" w:rsidR="001D4192" w:rsidRPr="00375C77" w:rsidRDefault="001D4192" w:rsidP="00776757">
      <w:pPr>
        <w:spacing w:after="0" w:line="240" w:lineRule="auto"/>
        <w:ind w:left="720"/>
        <w:rPr>
          <w:rFonts w:eastAsia="Times New Roman" w:cstheme="minorHAnsi"/>
          <w:sz w:val="22"/>
        </w:rPr>
      </w:pPr>
    </w:p>
    <w:p w14:paraId="31088E0F" w14:textId="1DA9C967" w:rsidR="001D4192" w:rsidRPr="00375C77" w:rsidRDefault="001D4192" w:rsidP="00776757">
      <w:pPr>
        <w:spacing w:after="0" w:line="240" w:lineRule="auto"/>
        <w:ind w:left="720"/>
        <w:rPr>
          <w:rFonts w:eastAsia="Times New Roman" w:cstheme="minorHAnsi"/>
          <w:b/>
          <w:bCs/>
          <w:sz w:val="22"/>
          <w:u w:val="single"/>
        </w:rPr>
      </w:pPr>
      <w:r w:rsidRPr="00375C77">
        <w:rPr>
          <w:rFonts w:eastAsia="Times New Roman" w:cstheme="minorHAnsi"/>
          <w:b/>
          <w:bCs/>
          <w:sz w:val="22"/>
          <w:u w:val="single"/>
        </w:rPr>
        <w:t>ENGINEERING</w:t>
      </w:r>
    </w:p>
    <w:p w14:paraId="15A031B6" w14:textId="48955C55"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MS CIVIL CONSULTANTS</w:t>
      </w:r>
    </w:p>
    <w:p w14:paraId="5517A6B4" w14:textId="61EDF732"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102 E. PIKES PEAK, 5TH FLOOR</w:t>
      </w:r>
    </w:p>
    <w:p w14:paraId="07632787" w14:textId="1EC80CD9"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COLORADO SPRINGS, CO 80903</w:t>
      </w:r>
    </w:p>
    <w:p w14:paraId="5316A9B9" w14:textId="77777777" w:rsidR="001D4192" w:rsidRPr="00375C77" w:rsidRDefault="001D4192" w:rsidP="00776757">
      <w:pPr>
        <w:spacing w:after="0" w:line="240" w:lineRule="auto"/>
        <w:ind w:left="720"/>
        <w:rPr>
          <w:rFonts w:eastAsia="Times New Roman" w:cstheme="minorHAnsi"/>
          <w:sz w:val="22"/>
        </w:rPr>
      </w:pPr>
    </w:p>
    <w:p w14:paraId="7BA1A610" w14:textId="1C5A6663" w:rsidR="001D4192" w:rsidRPr="00375C77" w:rsidRDefault="001D4192" w:rsidP="00776757">
      <w:pPr>
        <w:spacing w:after="0" w:line="240" w:lineRule="auto"/>
        <w:ind w:left="720"/>
        <w:rPr>
          <w:rFonts w:eastAsia="Times New Roman" w:cstheme="minorHAnsi"/>
          <w:b/>
          <w:bCs/>
          <w:sz w:val="22"/>
          <w:u w:val="single"/>
        </w:rPr>
      </w:pPr>
      <w:r w:rsidRPr="00375C77">
        <w:rPr>
          <w:rFonts w:eastAsia="Times New Roman" w:cstheme="minorHAnsi"/>
          <w:b/>
          <w:bCs/>
          <w:sz w:val="22"/>
          <w:u w:val="single"/>
        </w:rPr>
        <w:t>SURVEYING</w:t>
      </w:r>
    </w:p>
    <w:p w14:paraId="2503F7B5" w14:textId="27B94AD2"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CLARK LAND SURVEYING, INC</w:t>
      </w:r>
    </w:p>
    <w:p w14:paraId="0A78206D" w14:textId="411A7496" w:rsidR="001D4192" w:rsidRPr="00375C77" w:rsidRDefault="001D4192" w:rsidP="00776757">
      <w:pPr>
        <w:spacing w:after="0" w:line="240" w:lineRule="auto"/>
        <w:ind w:left="720"/>
        <w:rPr>
          <w:rFonts w:eastAsia="Times New Roman" w:cstheme="minorHAnsi"/>
          <w:sz w:val="22"/>
        </w:rPr>
      </w:pPr>
      <w:r w:rsidRPr="00375C77">
        <w:rPr>
          <w:rFonts w:eastAsia="Times New Roman" w:cstheme="minorHAnsi"/>
          <w:sz w:val="22"/>
        </w:rPr>
        <w:t>177 S. TIFFANY DRIVE</w:t>
      </w:r>
      <w:r w:rsidR="001E759F" w:rsidRPr="00375C77">
        <w:rPr>
          <w:rFonts w:eastAsia="Times New Roman" w:cstheme="minorHAnsi"/>
          <w:sz w:val="22"/>
        </w:rPr>
        <w:t>, UNIT 1</w:t>
      </w:r>
    </w:p>
    <w:p w14:paraId="2EF77D21" w14:textId="7BB5C169" w:rsidR="001E759F" w:rsidRPr="00375C77" w:rsidRDefault="001E759F" w:rsidP="00776757">
      <w:pPr>
        <w:spacing w:after="0" w:line="240" w:lineRule="auto"/>
        <w:ind w:left="720"/>
        <w:rPr>
          <w:rFonts w:eastAsia="Times New Roman" w:cstheme="minorHAnsi"/>
          <w:sz w:val="22"/>
        </w:rPr>
      </w:pPr>
      <w:r w:rsidRPr="00375C77">
        <w:rPr>
          <w:rFonts w:eastAsia="Times New Roman" w:cstheme="minorHAnsi"/>
          <w:sz w:val="22"/>
        </w:rPr>
        <w:t>PUEBLO WEST, CO 81007</w:t>
      </w:r>
    </w:p>
    <w:p w14:paraId="7D9EA4DE" w14:textId="4A27CC43" w:rsidR="00E0105F" w:rsidRPr="00375C77" w:rsidRDefault="00E0105F" w:rsidP="00E752A3">
      <w:pPr>
        <w:spacing w:after="0" w:line="240" w:lineRule="auto"/>
        <w:rPr>
          <w:rFonts w:eastAsia="Times New Roman" w:cstheme="minorHAnsi"/>
          <w:sz w:val="22"/>
        </w:rPr>
      </w:pPr>
    </w:p>
    <w:p w14:paraId="117ADD5D" w14:textId="318AE78B" w:rsidR="00E0105F" w:rsidRPr="00375C77" w:rsidRDefault="00E0105F" w:rsidP="00E752A3">
      <w:pPr>
        <w:spacing w:after="0" w:line="240" w:lineRule="auto"/>
        <w:rPr>
          <w:rFonts w:eastAsia="Times New Roman" w:cstheme="minorHAnsi"/>
          <w:sz w:val="22"/>
        </w:rPr>
      </w:pPr>
    </w:p>
    <w:p w14:paraId="38E18029" w14:textId="77777777" w:rsidR="00E0105F" w:rsidRPr="00375C77" w:rsidRDefault="00E0105F" w:rsidP="00E752A3">
      <w:pPr>
        <w:spacing w:after="0" w:line="240" w:lineRule="auto"/>
        <w:rPr>
          <w:rFonts w:eastAsia="Times New Roman" w:cstheme="minorHAnsi"/>
          <w:sz w:val="22"/>
        </w:rPr>
      </w:pPr>
    </w:p>
    <w:p w14:paraId="3C5F84A5" w14:textId="77777777" w:rsidR="005C50FD" w:rsidRPr="00375C77" w:rsidRDefault="005C50FD" w:rsidP="005C50FD">
      <w:pPr>
        <w:spacing w:after="0" w:line="240" w:lineRule="auto"/>
        <w:rPr>
          <w:rFonts w:eastAsia="Times New Roman" w:cstheme="minorHAnsi"/>
          <w:b/>
          <w:bCs/>
          <w:sz w:val="22"/>
        </w:rPr>
      </w:pPr>
      <w:r w:rsidRPr="00375C77">
        <w:rPr>
          <w:rFonts w:eastAsia="Times New Roman" w:cstheme="minorHAnsi"/>
          <w:b/>
          <w:bCs/>
          <w:sz w:val="22"/>
        </w:rPr>
        <w:t>LOCATION, ACREAGE, PARCEL ID INFO, &amp; ZONING</w:t>
      </w:r>
    </w:p>
    <w:p w14:paraId="3770877B" w14:textId="18CE4D7A" w:rsidR="005C50FD" w:rsidRPr="00375C77" w:rsidRDefault="00D35E3E" w:rsidP="005C50FD">
      <w:pPr>
        <w:spacing w:after="0" w:line="240" w:lineRule="auto"/>
        <w:rPr>
          <w:rFonts w:eastAsia="Times New Roman" w:cstheme="minorHAnsi"/>
          <w:sz w:val="22"/>
        </w:rPr>
      </w:pPr>
      <w:r w:rsidRPr="00375C77">
        <w:rPr>
          <w:rFonts w:eastAsia="Times New Roman" w:cstheme="minorHAnsi"/>
          <w:sz w:val="22"/>
        </w:rPr>
        <w:t xml:space="preserve">This </w:t>
      </w:r>
      <w:r w:rsidR="00D719BD" w:rsidRPr="00375C77">
        <w:rPr>
          <w:rFonts w:eastAsia="Times New Roman" w:cstheme="minorHAnsi"/>
          <w:sz w:val="22"/>
        </w:rPr>
        <w:t>application</w:t>
      </w:r>
      <w:r w:rsidR="005C50FD" w:rsidRPr="00375C77">
        <w:rPr>
          <w:rFonts w:eastAsia="Times New Roman" w:cstheme="minorHAnsi"/>
          <w:sz w:val="22"/>
        </w:rPr>
        <w:t xml:space="preserve"> </w:t>
      </w:r>
      <w:r w:rsidR="00D719BD" w:rsidRPr="00375C77">
        <w:rPr>
          <w:rFonts w:eastAsia="Times New Roman" w:cstheme="minorHAnsi"/>
          <w:sz w:val="22"/>
        </w:rPr>
        <w:t xml:space="preserve">for a map amendment (rezoning) </w:t>
      </w:r>
      <w:r w:rsidR="005C50FD" w:rsidRPr="00375C77">
        <w:rPr>
          <w:rFonts w:eastAsia="Times New Roman" w:cstheme="minorHAnsi"/>
          <w:sz w:val="22"/>
        </w:rPr>
        <w:t xml:space="preserve">includes Parcel Nos.  5408001032, 5408001041, 5408001042, 5408001050, 5408001051, &amp; 5408001052. The </w:t>
      </w:r>
      <w:r w:rsidR="00D719BD" w:rsidRPr="00375C77">
        <w:rPr>
          <w:rFonts w:eastAsia="Times New Roman" w:cstheme="minorHAnsi"/>
          <w:sz w:val="22"/>
        </w:rPr>
        <w:t xml:space="preserve">proposed </w:t>
      </w:r>
      <w:r w:rsidRPr="00375C77">
        <w:rPr>
          <w:rFonts w:eastAsia="Times New Roman" w:cstheme="minorHAnsi"/>
          <w:sz w:val="22"/>
        </w:rPr>
        <w:t xml:space="preserve">rezoning </w:t>
      </w:r>
      <w:r w:rsidR="005C50FD" w:rsidRPr="00375C77">
        <w:rPr>
          <w:rFonts w:eastAsia="Times New Roman" w:cstheme="minorHAnsi"/>
          <w:sz w:val="22"/>
        </w:rPr>
        <w:t xml:space="preserve">is </w:t>
      </w:r>
      <w:r w:rsidR="002B4DFC" w:rsidRPr="00375C77">
        <w:rPr>
          <w:rFonts w:eastAsia="Times New Roman" w:cstheme="minorHAnsi"/>
          <w:sz w:val="22"/>
        </w:rPr>
        <w:t xml:space="preserve">generally </w:t>
      </w:r>
      <w:r w:rsidR="005C50FD" w:rsidRPr="00375C77">
        <w:rPr>
          <w:rFonts w:eastAsia="Times New Roman" w:cstheme="minorHAnsi"/>
          <w:sz w:val="22"/>
        </w:rPr>
        <w:t xml:space="preserve">located at the northeast corner of intersections of U.S. State Highway 24 and U.S. </w:t>
      </w:r>
      <w:r w:rsidR="00D719BD" w:rsidRPr="00375C77">
        <w:rPr>
          <w:rFonts w:eastAsia="Times New Roman" w:cstheme="minorHAnsi"/>
          <w:sz w:val="22"/>
        </w:rPr>
        <w:t>H</w:t>
      </w:r>
      <w:r w:rsidR="005C50FD" w:rsidRPr="00375C77">
        <w:rPr>
          <w:rFonts w:eastAsia="Times New Roman" w:cstheme="minorHAnsi"/>
          <w:sz w:val="22"/>
        </w:rPr>
        <w:t xml:space="preserve">ighway 94. </w:t>
      </w:r>
      <w:r w:rsidR="002B4DFC" w:rsidRPr="00375C77">
        <w:rPr>
          <w:rFonts w:eastAsia="Times New Roman" w:cstheme="minorHAnsi"/>
          <w:sz w:val="22"/>
        </w:rPr>
        <w:t xml:space="preserve">The site is bound by US Highway 24 on the north, Marksheffel Road on the east, and Air Lane on the south (see vicinity map and rezone map exhibit for details). </w:t>
      </w:r>
      <w:r w:rsidR="005C50FD" w:rsidRPr="00375C77">
        <w:rPr>
          <w:rFonts w:eastAsia="Times New Roman" w:cstheme="minorHAnsi"/>
          <w:sz w:val="22"/>
        </w:rPr>
        <w:t xml:space="preserve">The </w:t>
      </w:r>
      <w:r w:rsidR="00D719BD" w:rsidRPr="00375C77">
        <w:rPr>
          <w:rFonts w:eastAsia="Times New Roman" w:cstheme="minorHAnsi"/>
          <w:sz w:val="22"/>
        </w:rPr>
        <w:t xml:space="preserve">combined acreage of the properties included in the proposed rezone is ±25.18. </w:t>
      </w:r>
      <w:r w:rsidR="005C50FD" w:rsidRPr="00375C77">
        <w:rPr>
          <w:rFonts w:eastAsia="Times New Roman" w:cstheme="minorHAnsi"/>
          <w:sz w:val="22"/>
        </w:rPr>
        <w:t xml:space="preserve"> (Commercial Airport Overlay District).</w:t>
      </w:r>
    </w:p>
    <w:p w14:paraId="730A55D8" w14:textId="77777777" w:rsidR="005C50FD" w:rsidRPr="00375C77" w:rsidRDefault="005C50FD" w:rsidP="005C50FD">
      <w:pPr>
        <w:spacing w:after="0" w:line="240" w:lineRule="auto"/>
        <w:rPr>
          <w:rFonts w:eastAsia="Times New Roman" w:cstheme="minorHAnsi"/>
          <w:b/>
          <w:bCs/>
          <w:sz w:val="22"/>
        </w:rPr>
      </w:pPr>
    </w:p>
    <w:p w14:paraId="6E8C2957" w14:textId="77777777" w:rsidR="005C50FD" w:rsidRPr="00375C77" w:rsidRDefault="005C50FD" w:rsidP="005C50FD">
      <w:pPr>
        <w:spacing w:after="0" w:line="240" w:lineRule="auto"/>
        <w:rPr>
          <w:rFonts w:eastAsia="Times New Roman" w:cstheme="minorHAnsi"/>
          <w:b/>
          <w:bCs/>
          <w:sz w:val="22"/>
        </w:rPr>
      </w:pPr>
      <w:r w:rsidRPr="00375C77">
        <w:rPr>
          <w:rFonts w:eastAsia="Times New Roman" w:cstheme="minorHAnsi"/>
          <w:b/>
          <w:bCs/>
          <w:sz w:val="22"/>
        </w:rPr>
        <w:t>REQUEST</w:t>
      </w:r>
    </w:p>
    <w:p w14:paraId="121AE1C6" w14:textId="4C8BA62F" w:rsidR="005C50FD" w:rsidRPr="00375C77" w:rsidRDefault="00D719BD" w:rsidP="005C50FD">
      <w:pPr>
        <w:spacing w:after="0" w:line="240" w:lineRule="auto"/>
        <w:rPr>
          <w:rFonts w:eastAsia="Times New Roman" w:cstheme="minorHAnsi"/>
          <w:sz w:val="22"/>
        </w:rPr>
      </w:pPr>
      <w:r w:rsidRPr="00375C77">
        <w:rPr>
          <w:rFonts w:eastAsia="Times New Roman" w:cstheme="minorHAnsi"/>
          <w:sz w:val="22"/>
        </w:rPr>
        <w:t>Rezone 25.18 acres from the M (4.84 AC) and I-2 (20.34 AC) zones to the CR CAD-O zoning district.</w:t>
      </w:r>
      <w:r w:rsidR="00A22FF4">
        <w:rPr>
          <w:rFonts w:eastAsia="Times New Roman" w:cstheme="minorHAnsi"/>
          <w:sz w:val="22"/>
        </w:rPr>
        <w:t xml:space="preserve"> </w:t>
      </w:r>
      <w:r w:rsidR="005C50FD" w:rsidRPr="00375C77">
        <w:rPr>
          <w:rFonts w:eastAsia="Times New Roman" w:cstheme="minorHAnsi"/>
          <w:sz w:val="22"/>
        </w:rPr>
        <w:t>All future rezoning, subdivision, and/or land use applications will be subject to the restrictions and limitations of the Airport Overlay. The</w:t>
      </w:r>
      <w:r w:rsidRPr="00375C77">
        <w:rPr>
          <w:rFonts w:eastAsia="Times New Roman" w:cstheme="minorHAnsi"/>
          <w:sz w:val="22"/>
        </w:rPr>
        <w:t xml:space="preserve"> subsequent</w:t>
      </w:r>
      <w:r w:rsidR="005C50FD" w:rsidRPr="00375C77">
        <w:rPr>
          <w:rFonts w:eastAsia="Times New Roman" w:cstheme="minorHAnsi"/>
          <w:sz w:val="22"/>
        </w:rPr>
        <w:t xml:space="preserve"> preliminary plan </w:t>
      </w:r>
      <w:r w:rsidRPr="00375C77">
        <w:rPr>
          <w:rFonts w:eastAsia="Times New Roman" w:cstheme="minorHAnsi"/>
          <w:sz w:val="22"/>
        </w:rPr>
        <w:t xml:space="preserve">and final plat </w:t>
      </w:r>
      <w:r w:rsidR="005C50FD" w:rsidRPr="00375C77">
        <w:rPr>
          <w:rFonts w:eastAsia="Times New Roman" w:cstheme="minorHAnsi"/>
          <w:sz w:val="22"/>
        </w:rPr>
        <w:t>will clarify zone district boundaries with respect to ROW</w:t>
      </w:r>
      <w:r w:rsidR="00413295" w:rsidRPr="00375C77">
        <w:rPr>
          <w:rFonts w:eastAsia="Times New Roman" w:cstheme="minorHAnsi"/>
          <w:sz w:val="22"/>
        </w:rPr>
        <w:t xml:space="preserve">, </w:t>
      </w:r>
      <w:r w:rsidR="005C50FD" w:rsidRPr="00375C77">
        <w:rPr>
          <w:rFonts w:eastAsia="Times New Roman" w:cstheme="minorHAnsi"/>
          <w:sz w:val="22"/>
        </w:rPr>
        <w:t xml:space="preserve">proposed </w:t>
      </w:r>
      <w:r w:rsidR="00413295" w:rsidRPr="00375C77">
        <w:rPr>
          <w:rFonts w:eastAsia="Times New Roman" w:cstheme="minorHAnsi"/>
          <w:sz w:val="22"/>
        </w:rPr>
        <w:t>commercial</w:t>
      </w:r>
      <w:r w:rsidR="005C50FD" w:rsidRPr="00375C77">
        <w:rPr>
          <w:rFonts w:eastAsia="Times New Roman" w:cstheme="minorHAnsi"/>
          <w:sz w:val="22"/>
        </w:rPr>
        <w:t xml:space="preserve"> lot</w:t>
      </w:r>
      <w:r w:rsidR="00413295" w:rsidRPr="00375C77">
        <w:rPr>
          <w:rFonts w:eastAsia="Times New Roman" w:cstheme="minorHAnsi"/>
          <w:sz w:val="22"/>
        </w:rPr>
        <w:t>s, and landscape buffers</w:t>
      </w:r>
      <w:r w:rsidR="005C50FD" w:rsidRPr="00375C77">
        <w:rPr>
          <w:rFonts w:eastAsia="Times New Roman" w:cstheme="minorHAnsi"/>
          <w:sz w:val="22"/>
        </w:rPr>
        <w:t xml:space="preserve"> </w:t>
      </w:r>
      <w:r w:rsidR="00413295" w:rsidRPr="00375C77">
        <w:rPr>
          <w:rFonts w:eastAsia="Times New Roman" w:cstheme="minorHAnsi"/>
          <w:sz w:val="22"/>
        </w:rPr>
        <w:t>and setbacks</w:t>
      </w:r>
      <w:r w:rsidR="005C50FD" w:rsidRPr="00375C77">
        <w:rPr>
          <w:rFonts w:eastAsia="Times New Roman" w:cstheme="minorHAnsi"/>
          <w:sz w:val="22"/>
        </w:rPr>
        <w:t>.</w:t>
      </w:r>
    </w:p>
    <w:p w14:paraId="2C542373" w14:textId="376432F4" w:rsidR="005C50FD" w:rsidRPr="00375C77" w:rsidRDefault="005C50FD" w:rsidP="005C50FD">
      <w:pPr>
        <w:spacing w:after="0" w:line="240" w:lineRule="auto"/>
        <w:ind w:left="360"/>
        <w:rPr>
          <w:rFonts w:eastAsia="Times New Roman" w:cstheme="minorHAnsi"/>
          <w:sz w:val="22"/>
        </w:rPr>
      </w:pPr>
    </w:p>
    <w:p w14:paraId="4CAE9CCB" w14:textId="78F790C5" w:rsidR="00194E3F" w:rsidRPr="00375C77" w:rsidRDefault="00194E3F" w:rsidP="00194E3F">
      <w:pPr>
        <w:spacing w:after="0" w:line="240" w:lineRule="auto"/>
        <w:ind w:left="360"/>
        <w:rPr>
          <w:rFonts w:eastAsia="Times New Roman" w:cstheme="minorHAnsi"/>
          <w:sz w:val="22"/>
        </w:rPr>
      </w:pPr>
      <w:r w:rsidRPr="00375C77">
        <w:rPr>
          <w:rFonts w:eastAsia="Times New Roman" w:cstheme="minorHAnsi"/>
          <w:sz w:val="22"/>
        </w:rPr>
        <w:lastRenderedPageBreak/>
        <w:t xml:space="preserve">Development within the </w:t>
      </w:r>
      <w:r w:rsidR="00D35E3E" w:rsidRPr="00375C77">
        <w:rPr>
          <w:rFonts w:eastAsia="Times New Roman" w:cstheme="minorHAnsi"/>
          <w:sz w:val="22"/>
        </w:rPr>
        <w:t>proposed map amendment (rezoning) boundaries will</w:t>
      </w:r>
      <w:r w:rsidRPr="00375C77">
        <w:rPr>
          <w:rFonts w:eastAsia="Times New Roman" w:cstheme="minorHAnsi"/>
          <w:sz w:val="22"/>
        </w:rPr>
        <w:t xml:space="preserve"> conform to the density and dimensional requirements of the CR zone which include:</w:t>
      </w:r>
    </w:p>
    <w:p w14:paraId="61C1E7D8" w14:textId="77777777" w:rsidR="00194E3F" w:rsidRPr="00375C77" w:rsidRDefault="00194E3F" w:rsidP="00194E3F">
      <w:pPr>
        <w:spacing w:after="0" w:line="240" w:lineRule="auto"/>
        <w:ind w:left="360"/>
        <w:rPr>
          <w:rFonts w:eastAsia="Times New Roman" w:cstheme="minorHAnsi"/>
          <w:sz w:val="22"/>
        </w:rPr>
      </w:pPr>
    </w:p>
    <w:p w14:paraId="66E829F9" w14:textId="35BD59CC" w:rsidR="00194E3F" w:rsidRPr="00375C77" w:rsidRDefault="00194E3F" w:rsidP="00194E3F">
      <w:pPr>
        <w:numPr>
          <w:ilvl w:val="0"/>
          <w:numId w:val="49"/>
        </w:numPr>
        <w:spacing w:after="0" w:line="240" w:lineRule="auto"/>
        <w:rPr>
          <w:rFonts w:eastAsia="Times New Roman" w:cstheme="minorHAnsi"/>
          <w:sz w:val="22"/>
        </w:rPr>
      </w:pPr>
      <w:r w:rsidRPr="00375C77">
        <w:rPr>
          <w:rFonts w:eastAsia="Times New Roman" w:cstheme="minorHAnsi"/>
          <w:sz w:val="22"/>
        </w:rPr>
        <w:t xml:space="preserve">Setbacks: </w:t>
      </w:r>
      <w:r w:rsidR="00C92039" w:rsidRPr="00375C77">
        <w:rPr>
          <w:rFonts w:eastAsia="Times New Roman" w:cstheme="minorHAnsi"/>
          <w:sz w:val="22"/>
        </w:rPr>
        <w:t xml:space="preserve">50’ </w:t>
      </w:r>
      <w:r w:rsidRPr="00375C77">
        <w:rPr>
          <w:rFonts w:eastAsia="Times New Roman" w:cstheme="minorHAnsi"/>
          <w:sz w:val="22"/>
        </w:rPr>
        <w:t xml:space="preserve">front yard; 25’ side/rear yards (0’ from internal side/rear lot line within the same zone) </w:t>
      </w:r>
    </w:p>
    <w:p w14:paraId="739F33DC" w14:textId="6C412BC1" w:rsidR="00194E3F" w:rsidRPr="00375C77" w:rsidRDefault="00194E3F" w:rsidP="00194E3F">
      <w:pPr>
        <w:numPr>
          <w:ilvl w:val="0"/>
          <w:numId w:val="49"/>
        </w:numPr>
        <w:spacing w:after="0" w:line="240" w:lineRule="auto"/>
        <w:rPr>
          <w:rFonts w:eastAsia="Times New Roman" w:cstheme="minorHAnsi"/>
          <w:sz w:val="22"/>
        </w:rPr>
      </w:pPr>
      <w:r w:rsidRPr="00375C77">
        <w:rPr>
          <w:rFonts w:eastAsia="Times New Roman" w:cstheme="minorHAnsi"/>
          <w:sz w:val="22"/>
        </w:rPr>
        <w:t xml:space="preserve">Height: 45’ </w:t>
      </w:r>
    </w:p>
    <w:p w14:paraId="3D95692C" w14:textId="77777777" w:rsidR="00194E3F" w:rsidRPr="00375C77" w:rsidRDefault="00194E3F" w:rsidP="00194E3F">
      <w:pPr>
        <w:numPr>
          <w:ilvl w:val="0"/>
          <w:numId w:val="49"/>
        </w:numPr>
        <w:spacing w:after="0" w:line="240" w:lineRule="auto"/>
        <w:rPr>
          <w:rFonts w:eastAsia="Times New Roman" w:cstheme="minorHAnsi"/>
          <w:sz w:val="22"/>
        </w:rPr>
      </w:pPr>
      <w:r w:rsidRPr="00375C77">
        <w:rPr>
          <w:rFonts w:eastAsia="Times New Roman" w:cstheme="minorHAnsi"/>
          <w:sz w:val="22"/>
        </w:rPr>
        <w:t>Roadway Landscape Buffer/Setback Requirements:</w:t>
      </w:r>
    </w:p>
    <w:p w14:paraId="27F08657" w14:textId="77777777" w:rsidR="00194E3F" w:rsidRPr="00375C77" w:rsidRDefault="00194E3F" w:rsidP="00194E3F">
      <w:pPr>
        <w:spacing w:after="0" w:line="240" w:lineRule="auto"/>
        <w:ind w:left="360"/>
        <w:rPr>
          <w:rFonts w:eastAsia="Times New Roman" w:cstheme="minorHAnsi"/>
          <w:sz w:val="22"/>
        </w:rPr>
      </w:pPr>
    </w:p>
    <w:tbl>
      <w:tblPr>
        <w:tblW w:w="4403" w:type="pct"/>
        <w:tblInd w:w="-8"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475"/>
        <w:gridCol w:w="2086"/>
        <w:gridCol w:w="2153"/>
        <w:gridCol w:w="2197"/>
      </w:tblGrid>
      <w:tr w:rsidR="00194E3F" w:rsidRPr="00375C77" w14:paraId="64630B00" w14:textId="77777777" w:rsidTr="00250E3F">
        <w:trPr>
          <w:tblHeader/>
        </w:trPr>
        <w:tc>
          <w:tcPr>
            <w:tcW w:w="0" w:type="auto"/>
            <w:tcBorders>
              <w:top w:val="nil"/>
              <w:left w:val="outset" w:sz="6" w:space="0" w:color="auto"/>
              <w:bottom w:val="outset" w:sz="6" w:space="0" w:color="auto"/>
              <w:right w:val="outset" w:sz="6" w:space="0" w:color="auto"/>
            </w:tcBorders>
            <w:shd w:val="clear" w:color="auto" w:fill="C0C0C0"/>
          </w:tcPr>
          <w:p w14:paraId="515E8AC6" w14:textId="77777777" w:rsidR="00194E3F" w:rsidRPr="00375C77" w:rsidRDefault="00194E3F" w:rsidP="00194E3F">
            <w:pPr>
              <w:spacing w:after="0" w:line="240" w:lineRule="auto"/>
              <w:ind w:left="360"/>
              <w:rPr>
                <w:rFonts w:eastAsia="Times New Roman" w:cstheme="minorHAnsi"/>
                <w:b/>
                <w:bCs/>
                <w:sz w:val="22"/>
              </w:rPr>
            </w:pPr>
            <w:r w:rsidRPr="00375C77">
              <w:rPr>
                <w:rFonts w:eastAsia="Times New Roman" w:cstheme="minorHAnsi"/>
                <w:b/>
                <w:bCs/>
                <w:sz w:val="22"/>
              </w:rPr>
              <w:t>Ex./Prop. Road</w:t>
            </w:r>
          </w:p>
        </w:tc>
        <w:tc>
          <w:tcPr>
            <w:tcW w:w="0" w:type="auto"/>
            <w:tcBorders>
              <w:top w:val="nil"/>
              <w:left w:val="outset" w:sz="6" w:space="0" w:color="auto"/>
              <w:bottom w:val="outset" w:sz="6" w:space="0" w:color="auto"/>
              <w:right w:val="outset" w:sz="6" w:space="0" w:color="auto"/>
            </w:tcBorders>
            <w:shd w:val="clear" w:color="auto" w:fill="C0C0C0"/>
            <w:tcMar>
              <w:top w:w="150" w:type="dxa"/>
              <w:left w:w="120" w:type="dxa"/>
              <w:bottom w:w="150" w:type="dxa"/>
              <w:right w:w="120" w:type="dxa"/>
            </w:tcMar>
            <w:hideMark/>
          </w:tcPr>
          <w:p w14:paraId="32FEBF99" w14:textId="77777777" w:rsidR="00194E3F" w:rsidRPr="00375C77" w:rsidRDefault="00194E3F" w:rsidP="00194E3F">
            <w:pPr>
              <w:spacing w:after="0" w:line="240" w:lineRule="auto"/>
              <w:ind w:left="360"/>
              <w:rPr>
                <w:rFonts w:eastAsia="Times New Roman" w:cstheme="minorHAnsi"/>
                <w:sz w:val="22"/>
              </w:rPr>
            </w:pPr>
            <w:r w:rsidRPr="00375C77">
              <w:rPr>
                <w:rFonts w:eastAsia="Times New Roman" w:cstheme="minorHAnsi"/>
                <w:b/>
                <w:bCs/>
                <w:sz w:val="22"/>
              </w:rPr>
              <w:t>Roadway Classification</w:t>
            </w:r>
          </w:p>
        </w:tc>
        <w:tc>
          <w:tcPr>
            <w:tcW w:w="1251" w:type="pct"/>
            <w:tcBorders>
              <w:top w:val="nil"/>
              <w:left w:val="outset" w:sz="6" w:space="0" w:color="auto"/>
              <w:bottom w:val="outset" w:sz="6" w:space="0" w:color="auto"/>
              <w:right w:val="outset" w:sz="6" w:space="0" w:color="auto"/>
            </w:tcBorders>
            <w:shd w:val="clear" w:color="auto" w:fill="C0C0C0"/>
            <w:tcMar>
              <w:top w:w="150" w:type="dxa"/>
              <w:left w:w="120" w:type="dxa"/>
              <w:bottom w:w="150" w:type="dxa"/>
              <w:right w:w="120" w:type="dxa"/>
            </w:tcMar>
            <w:hideMark/>
          </w:tcPr>
          <w:p w14:paraId="7209191C" w14:textId="77777777" w:rsidR="00194E3F" w:rsidRPr="00375C77" w:rsidRDefault="00194E3F" w:rsidP="00194E3F">
            <w:pPr>
              <w:spacing w:after="0" w:line="240" w:lineRule="auto"/>
              <w:ind w:left="360"/>
              <w:rPr>
                <w:rFonts w:eastAsia="Times New Roman" w:cstheme="minorHAnsi"/>
                <w:sz w:val="22"/>
              </w:rPr>
            </w:pPr>
            <w:r w:rsidRPr="00375C77">
              <w:rPr>
                <w:rFonts w:eastAsia="Times New Roman" w:cstheme="minorHAnsi"/>
                <w:b/>
                <w:bCs/>
                <w:sz w:val="22"/>
              </w:rPr>
              <w:t>Landscaping Buffer/Setback</w:t>
            </w:r>
          </w:p>
        </w:tc>
        <w:tc>
          <w:tcPr>
            <w:tcW w:w="1425" w:type="pct"/>
            <w:tcBorders>
              <w:top w:val="nil"/>
              <w:left w:val="outset" w:sz="6" w:space="0" w:color="auto"/>
              <w:bottom w:val="outset" w:sz="6" w:space="0" w:color="auto"/>
              <w:right w:val="outset" w:sz="6" w:space="0" w:color="auto"/>
            </w:tcBorders>
            <w:shd w:val="clear" w:color="auto" w:fill="C0C0C0"/>
            <w:tcMar>
              <w:top w:w="150" w:type="dxa"/>
              <w:left w:w="120" w:type="dxa"/>
              <w:bottom w:w="150" w:type="dxa"/>
              <w:right w:w="120" w:type="dxa"/>
            </w:tcMar>
            <w:hideMark/>
          </w:tcPr>
          <w:p w14:paraId="621540C7" w14:textId="77777777" w:rsidR="00194E3F" w:rsidRPr="00375C77" w:rsidRDefault="00194E3F" w:rsidP="00194E3F">
            <w:pPr>
              <w:spacing w:after="0" w:line="240" w:lineRule="auto"/>
              <w:ind w:left="360"/>
              <w:rPr>
                <w:rFonts w:eastAsia="Times New Roman" w:cstheme="minorHAnsi"/>
                <w:sz w:val="22"/>
              </w:rPr>
            </w:pPr>
            <w:r w:rsidRPr="00375C77">
              <w:rPr>
                <w:rFonts w:eastAsia="Times New Roman" w:cstheme="minorHAnsi"/>
                <w:b/>
                <w:bCs/>
                <w:sz w:val="22"/>
              </w:rPr>
              <w:t xml:space="preserve">Req. Trees*/ Linear Foot of Frontage        </w:t>
            </w:r>
          </w:p>
        </w:tc>
      </w:tr>
      <w:tr w:rsidR="00194E3F" w:rsidRPr="00375C77" w14:paraId="18094170" w14:textId="77777777" w:rsidTr="00375C77">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A9F0BE"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US 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0857887"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Expressway, Principal Arterial</w:t>
            </w:r>
          </w:p>
        </w:tc>
        <w:tc>
          <w:tcPr>
            <w:tcW w:w="1251"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1B6D7BCE"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25 feet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233607B"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 per 20 feet</w:t>
            </w:r>
          </w:p>
        </w:tc>
      </w:tr>
      <w:tr w:rsidR="00194E3F" w:rsidRPr="00375C77" w14:paraId="6E2E5BD7" w14:textId="77777777" w:rsidTr="00250E3F">
        <w:tc>
          <w:tcPr>
            <w:tcW w:w="0" w:type="auto"/>
            <w:tcBorders>
              <w:top w:val="outset" w:sz="6" w:space="0" w:color="auto"/>
              <w:left w:val="outset" w:sz="6" w:space="0" w:color="auto"/>
              <w:bottom w:val="outset" w:sz="6" w:space="0" w:color="auto"/>
              <w:right w:val="outset" w:sz="6" w:space="0" w:color="auto"/>
            </w:tcBorders>
            <w:shd w:val="clear" w:color="auto" w:fill="FFFFFF"/>
          </w:tcPr>
          <w:p w14:paraId="36203350"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Marksheffel 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0C5D64CC"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Minor Arterial</w:t>
            </w:r>
          </w:p>
        </w:tc>
        <w:tc>
          <w:tcPr>
            <w:tcW w:w="1251"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75F0ACB0"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20 feet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D1DE030"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 per 25 feet</w:t>
            </w:r>
          </w:p>
        </w:tc>
      </w:tr>
      <w:tr w:rsidR="00194E3F" w:rsidRPr="00375C77" w14:paraId="6AB5925C" w14:textId="77777777" w:rsidTr="00250E3F">
        <w:tc>
          <w:tcPr>
            <w:tcW w:w="0" w:type="auto"/>
            <w:tcBorders>
              <w:top w:val="outset" w:sz="6" w:space="0" w:color="auto"/>
              <w:left w:val="outset" w:sz="6" w:space="0" w:color="auto"/>
              <w:bottom w:val="outset" w:sz="6" w:space="0" w:color="auto"/>
              <w:right w:val="outset" w:sz="6" w:space="0" w:color="auto"/>
            </w:tcBorders>
            <w:shd w:val="clear" w:color="auto" w:fill="FFFFFF"/>
          </w:tcPr>
          <w:p w14:paraId="03862F1C"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Air Lane</w:t>
            </w:r>
          </w:p>
          <w:p w14:paraId="4DC9FD25" w14:textId="77777777" w:rsidR="00194E3F" w:rsidRPr="00375C77" w:rsidRDefault="00194E3F" w:rsidP="00194E3F">
            <w:pPr>
              <w:spacing w:after="0" w:line="240" w:lineRule="auto"/>
              <w:ind w:left="360"/>
              <w:rPr>
                <w:rFonts w:eastAsia="Times New Roman" w:cstheme="minorHAnsi"/>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59014237"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Non-Arterial </w:t>
            </w:r>
          </w:p>
        </w:tc>
        <w:tc>
          <w:tcPr>
            <w:tcW w:w="1251"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05626A7"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10 feet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hideMark/>
          </w:tcPr>
          <w:p w14:paraId="24159303"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 per 30 feet</w:t>
            </w:r>
          </w:p>
        </w:tc>
      </w:tr>
      <w:tr w:rsidR="00194E3F" w:rsidRPr="00375C77" w14:paraId="1E853A42" w14:textId="77777777" w:rsidTr="00250E3F">
        <w:tc>
          <w:tcPr>
            <w:tcW w:w="0" w:type="auto"/>
            <w:tcBorders>
              <w:top w:val="outset" w:sz="6" w:space="0" w:color="auto"/>
              <w:left w:val="outset" w:sz="6" w:space="0" w:color="auto"/>
              <w:bottom w:val="outset" w:sz="6" w:space="0" w:color="auto"/>
              <w:right w:val="outset" w:sz="6" w:space="0" w:color="auto"/>
            </w:tcBorders>
            <w:shd w:val="clear" w:color="auto" w:fill="FFFFFF"/>
          </w:tcPr>
          <w:p w14:paraId="52BCBD12"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Crossroad Road (s)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2DAE39BA"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Non-Arterial </w:t>
            </w:r>
          </w:p>
        </w:tc>
        <w:tc>
          <w:tcPr>
            <w:tcW w:w="1251"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0FE9546A"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10 feet</w:t>
            </w:r>
          </w:p>
        </w:tc>
        <w:tc>
          <w:tcPr>
            <w:tcW w:w="1425" w:type="pct"/>
            <w:tcBorders>
              <w:top w:val="outset" w:sz="6" w:space="0" w:color="auto"/>
              <w:left w:val="outset" w:sz="6" w:space="0" w:color="auto"/>
              <w:bottom w:val="outset" w:sz="6" w:space="0" w:color="auto"/>
              <w:right w:val="outset" w:sz="6" w:space="0" w:color="auto"/>
            </w:tcBorders>
            <w:shd w:val="clear" w:color="auto" w:fill="FFFFFF"/>
            <w:tcMar>
              <w:top w:w="150" w:type="dxa"/>
              <w:left w:w="120" w:type="dxa"/>
              <w:bottom w:w="150" w:type="dxa"/>
              <w:right w:w="120" w:type="dxa"/>
            </w:tcMar>
          </w:tcPr>
          <w:p w14:paraId="055810B2" w14:textId="77777777" w:rsidR="00194E3F" w:rsidRPr="00375C77" w:rsidRDefault="00194E3F" w:rsidP="00194E3F">
            <w:pPr>
              <w:spacing w:after="0" w:line="240" w:lineRule="auto"/>
              <w:ind w:left="360"/>
              <w:rPr>
                <w:rFonts w:eastAsia="Times New Roman" w:cstheme="minorHAnsi"/>
                <w:szCs w:val="20"/>
              </w:rPr>
            </w:pPr>
            <w:r w:rsidRPr="00375C77">
              <w:rPr>
                <w:rFonts w:eastAsia="Times New Roman" w:cstheme="minorHAnsi"/>
                <w:szCs w:val="20"/>
              </w:rPr>
              <w:t>1 per 30 feet</w:t>
            </w:r>
          </w:p>
        </w:tc>
      </w:tr>
    </w:tbl>
    <w:p w14:paraId="7463766F" w14:textId="77777777" w:rsidR="00A22FF4" w:rsidRDefault="00A22FF4" w:rsidP="00194E3F">
      <w:pPr>
        <w:spacing w:after="0" w:line="240" w:lineRule="auto"/>
        <w:ind w:left="360"/>
        <w:rPr>
          <w:rFonts w:eastAsia="Times New Roman" w:cstheme="minorHAnsi"/>
          <w:sz w:val="22"/>
        </w:rPr>
      </w:pPr>
    </w:p>
    <w:p w14:paraId="7818B54A" w14:textId="24733FCE" w:rsidR="00194E3F" w:rsidRPr="00375C77" w:rsidRDefault="00194E3F" w:rsidP="00194E3F">
      <w:pPr>
        <w:spacing w:after="0" w:line="240" w:lineRule="auto"/>
        <w:ind w:left="360"/>
        <w:rPr>
          <w:rFonts w:eastAsia="Times New Roman" w:cstheme="minorHAnsi"/>
          <w:sz w:val="22"/>
        </w:rPr>
      </w:pPr>
      <w:r w:rsidRPr="00375C77">
        <w:rPr>
          <w:rFonts w:eastAsia="Times New Roman" w:cstheme="minorHAnsi"/>
          <w:sz w:val="22"/>
        </w:rPr>
        <w:t>*(min. 1/3 trees shall be evergreen)</w:t>
      </w:r>
    </w:p>
    <w:p w14:paraId="65375C8E" w14:textId="77777777" w:rsidR="00250E3F" w:rsidRPr="00375C77" w:rsidRDefault="00250E3F" w:rsidP="005C50FD">
      <w:pPr>
        <w:spacing w:after="0" w:line="240" w:lineRule="auto"/>
        <w:rPr>
          <w:rFonts w:eastAsia="Times New Roman" w:cstheme="minorHAnsi"/>
          <w:sz w:val="22"/>
        </w:rPr>
      </w:pPr>
    </w:p>
    <w:p w14:paraId="744A8440" w14:textId="3986033F" w:rsidR="005C50FD" w:rsidRPr="00375C77" w:rsidRDefault="005C50FD" w:rsidP="005C50FD">
      <w:pPr>
        <w:spacing w:after="0" w:line="240" w:lineRule="auto"/>
        <w:rPr>
          <w:rFonts w:eastAsia="Times New Roman" w:cstheme="minorHAnsi"/>
          <w:b/>
          <w:bCs/>
          <w:sz w:val="22"/>
        </w:rPr>
      </w:pPr>
      <w:r w:rsidRPr="00375C77">
        <w:rPr>
          <w:rFonts w:eastAsia="Times New Roman" w:cstheme="minorHAnsi"/>
          <w:b/>
          <w:bCs/>
          <w:sz w:val="22"/>
        </w:rPr>
        <w:t>JUSTIFICATION</w:t>
      </w:r>
    </w:p>
    <w:p w14:paraId="69C07CB0" w14:textId="49105B6C" w:rsidR="005C50FD" w:rsidRPr="00375C77" w:rsidRDefault="000D1497" w:rsidP="005C50FD">
      <w:pPr>
        <w:spacing w:after="0" w:line="240" w:lineRule="auto"/>
        <w:rPr>
          <w:rFonts w:eastAsia="Times New Roman" w:cstheme="minorHAnsi"/>
          <w:sz w:val="22"/>
        </w:rPr>
      </w:pPr>
      <w:r w:rsidRPr="00375C77">
        <w:rPr>
          <w:rFonts w:eastAsia="Times New Roman" w:cstheme="minorHAnsi"/>
          <w:sz w:val="22"/>
        </w:rPr>
        <w:t>The applicant requests approval of the rezoning based on findings of compliance with the following:</w:t>
      </w:r>
    </w:p>
    <w:p w14:paraId="187C6C71" w14:textId="77777777" w:rsidR="005C50FD" w:rsidRPr="00375C77" w:rsidRDefault="005C50FD" w:rsidP="005C50FD">
      <w:pPr>
        <w:pStyle w:val="ListParagraph"/>
        <w:spacing w:after="0" w:line="240" w:lineRule="auto"/>
        <w:rPr>
          <w:rFonts w:eastAsia="Times New Roman" w:cstheme="minorHAnsi"/>
          <w:b/>
          <w:bCs/>
          <w:sz w:val="22"/>
        </w:rPr>
      </w:pPr>
    </w:p>
    <w:p w14:paraId="7858F23B" w14:textId="77777777" w:rsidR="005C50FD" w:rsidRPr="00375C77" w:rsidRDefault="005C50FD" w:rsidP="005C50FD">
      <w:pPr>
        <w:pStyle w:val="ListParagraph"/>
        <w:numPr>
          <w:ilvl w:val="0"/>
          <w:numId w:val="42"/>
        </w:numPr>
        <w:spacing w:after="0" w:line="240" w:lineRule="auto"/>
        <w:rPr>
          <w:rFonts w:eastAsia="Times New Roman" w:cstheme="minorHAnsi"/>
          <w:b/>
          <w:bCs/>
          <w:sz w:val="22"/>
        </w:rPr>
      </w:pPr>
      <w:r w:rsidRPr="00375C77">
        <w:rPr>
          <w:rFonts w:eastAsia="Times New Roman" w:cstheme="minorHAnsi"/>
          <w:b/>
          <w:bCs/>
          <w:sz w:val="22"/>
        </w:rPr>
        <w:t>The application is in general conformance with the El Paso County Master Plan including applicable Small Area Plans or there has been a substantial change in the character of the neighborhood since the land was last zoned;</w:t>
      </w:r>
    </w:p>
    <w:p w14:paraId="7C6A35FC" w14:textId="77777777" w:rsidR="00194778" w:rsidRPr="00375C77" w:rsidRDefault="00194778" w:rsidP="00194778">
      <w:pPr>
        <w:pStyle w:val="ListParagraph"/>
        <w:spacing w:after="0" w:line="240" w:lineRule="auto"/>
        <w:ind w:left="0"/>
        <w:rPr>
          <w:rFonts w:eastAsia="Times New Roman" w:cstheme="minorHAnsi"/>
          <w:sz w:val="22"/>
        </w:rPr>
      </w:pPr>
    </w:p>
    <w:p w14:paraId="2AB4B89E" w14:textId="3EB59352" w:rsidR="00194778" w:rsidRPr="00375C77" w:rsidRDefault="00B96EA2" w:rsidP="00B96EA2">
      <w:pPr>
        <w:pStyle w:val="ListParagraph"/>
        <w:spacing w:after="0" w:line="240" w:lineRule="auto"/>
        <w:rPr>
          <w:rFonts w:eastAsia="Times New Roman" w:cstheme="minorHAnsi"/>
          <w:b/>
          <w:bCs/>
          <w:i/>
          <w:iCs/>
          <w:sz w:val="22"/>
          <w:u w:val="single"/>
        </w:rPr>
      </w:pPr>
      <w:r w:rsidRPr="00375C77">
        <w:rPr>
          <w:rFonts w:eastAsia="Times New Roman" w:cstheme="minorHAnsi"/>
          <w:b/>
          <w:bCs/>
          <w:i/>
          <w:iCs/>
          <w:sz w:val="22"/>
          <w:u w:val="single"/>
        </w:rPr>
        <w:t>WATER MASTER PLAN CONSIDERATIONS:</w:t>
      </w:r>
    </w:p>
    <w:p w14:paraId="0E5D26C8" w14:textId="772B7FE2" w:rsidR="00194778" w:rsidRPr="0076670A" w:rsidRDefault="00194778" w:rsidP="00194778">
      <w:pPr>
        <w:pStyle w:val="ListParagraph"/>
        <w:spacing w:after="0" w:line="240" w:lineRule="auto"/>
        <w:rPr>
          <w:rFonts w:eastAsia="Times New Roman" w:cstheme="minorHAnsi"/>
          <w:sz w:val="24"/>
          <w:szCs w:val="24"/>
        </w:rPr>
      </w:pPr>
      <w:r w:rsidRPr="00375C77">
        <w:rPr>
          <w:rFonts w:eastAsia="Times New Roman" w:cstheme="minorHAnsi"/>
          <w:sz w:val="22"/>
        </w:rPr>
        <w:t xml:space="preserve">The development area is in REGION 5 as identified on the El Paso County Water Master Plan Planning Regions Map and is within the Cherokee Metropolitan District (CMD) Service Area. Region 5 consists of areas served by CMD and is not expected to experience significant growth by 2060. However, the District may expand water and sewer service to growth areas outside of Region 5. </w:t>
      </w:r>
      <w:r w:rsidR="009E343C" w:rsidRPr="0076670A">
        <w:rPr>
          <w:rFonts w:cstheme="minorHAnsi"/>
          <w:sz w:val="22"/>
          <w:szCs w:val="24"/>
        </w:rPr>
        <w:t>No specific growth map was created for Region 5; these areas are shown in other maps.</w:t>
      </w:r>
    </w:p>
    <w:p w14:paraId="308110C0" w14:textId="77777777" w:rsidR="00194E3F" w:rsidRPr="00375C77" w:rsidRDefault="00194E3F" w:rsidP="00194E3F">
      <w:pPr>
        <w:pStyle w:val="ListParagraph"/>
        <w:spacing w:after="0" w:line="240" w:lineRule="auto"/>
        <w:rPr>
          <w:rFonts w:eastAsia="Times New Roman" w:cstheme="minorHAnsi"/>
          <w:sz w:val="22"/>
        </w:rPr>
      </w:pPr>
    </w:p>
    <w:p w14:paraId="0DB270ED" w14:textId="5D001F89" w:rsidR="00194E3F" w:rsidRPr="00375C77" w:rsidRDefault="00194E3F" w:rsidP="00194E3F">
      <w:pPr>
        <w:pStyle w:val="ListParagraph"/>
        <w:spacing w:after="0" w:line="240" w:lineRule="auto"/>
        <w:rPr>
          <w:rFonts w:eastAsia="Times New Roman" w:cstheme="minorHAnsi"/>
          <w:sz w:val="22"/>
        </w:rPr>
      </w:pPr>
      <w:r w:rsidRPr="00375C77">
        <w:rPr>
          <w:rFonts w:eastAsia="Times New Roman" w:cstheme="minorHAnsi"/>
          <w:sz w:val="22"/>
        </w:rPr>
        <w:lastRenderedPageBreak/>
        <w:t xml:space="preserve">CMD currently serves approximately </w:t>
      </w:r>
      <w:r w:rsidR="0076670A">
        <w:rPr>
          <w:rFonts w:eastAsia="Times New Roman" w:cstheme="minorHAnsi"/>
          <w:sz w:val="22"/>
        </w:rPr>
        <w:t xml:space="preserve">7,000 residential taps and 600 commercial taps in addition to bulk users in the eastern portion of unincorporated El Paso </w:t>
      </w:r>
      <w:proofErr w:type="gramStart"/>
      <w:r w:rsidR="0076670A">
        <w:rPr>
          <w:rFonts w:eastAsia="Times New Roman" w:cstheme="minorHAnsi"/>
          <w:sz w:val="22"/>
        </w:rPr>
        <w:t>County.</w:t>
      </w:r>
      <w:r w:rsidRPr="00375C77">
        <w:rPr>
          <w:rFonts w:eastAsia="Times New Roman" w:cstheme="minorHAnsi"/>
          <w:sz w:val="22"/>
        </w:rPr>
        <w:t>.</w:t>
      </w:r>
      <w:proofErr w:type="gramEnd"/>
      <w:r w:rsidRPr="00375C77">
        <w:rPr>
          <w:rFonts w:eastAsia="Times New Roman" w:cstheme="minorHAnsi"/>
          <w:sz w:val="22"/>
        </w:rPr>
        <w:t xml:space="preserve"> </w:t>
      </w:r>
    </w:p>
    <w:p w14:paraId="4ED0A0C7" w14:textId="77777777" w:rsidR="00194E3F" w:rsidRPr="00375C77" w:rsidRDefault="00194E3F" w:rsidP="00194E3F">
      <w:pPr>
        <w:pStyle w:val="ListParagraph"/>
        <w:spacing w:after="0" w:line="240" w:lineRule="auto"/>
        <w:rPr>
          <w:rFonts w:eastAsia="Times New Roman" w:cstheme="minorHAnsi"/>
          <w:sz w:val="22"/>
        </w:rPr>
      </w:pPr>
    </w:p>
    <w:p w14:paraId="5E5C9867" w14:textId="57AF7F25" w:rsidR="00250E3F" w:rsidRDefault="002B4DFC" w:rsidP="00250E3F">
      <w:pPr>
        <w:pStyle w:val="ListParagraph"/>
        <w:spacing w:after="0" w:line="240" w:lineRule="auto"/>
        <w:rPr>
          <w:rFonts w:eastAsia="Times New Roman" w:cstheme="minorHAnsi"/>
          <w:sz w:val="22"/>
        </w:rPr>
      </w:pPr>
      <w:r w:rsidRPr="00375C77">
        <w:rPr>
          <w:rFonts w:eastAsia="Times New Roman" w:cstheme="minorHAnsi"/>
          <w:sz w:val="22"/>
        </w:rPr>
        <w:t>CMD</w:t>
      </w:r>
      <w:r w:rsidR="00250E3F" w:rsidRPr="00375C77">
        <w:rPr>
          <w:rFonts w:eastAsia="Times New Roman" w:cstheme="minorHAnsi"/>
          <w:sz w:val="22"/>
        </w:rPr>
        <w:t xml:space="preserve"> has adequate supply</w:t>
      </w:r>
      <w:r w:rsidRPr="00375C77">
        <w:rPr>
          <w:rFonts w:eastAsia="Times New Roman" w:cstheme="minorHAnsi"/>
          <w:sz w:val="22"/>
        </w:rPr>
        <w:t>, water quality,</w:t>
      </w:r>
      <w:r w:rsidR="00250E3F" w:rsidRPr="00375C77">
        <w:rPr>
          <w:rFonts w:eastAsia="Times New Roman" w:cstheme="minorHAnsi"/>
          <w:sz w:val="22"/>
        </w:rPr>
        <w:t xml:space="preserve"> and existing infrastructure in the area to serve this development</w:t>
      </w:r>
      <w:r w:rsidR="00550184" w:rsidRPr="00375C77">
        <w:rPr>
          <w:rFonts w:eastAsia="Times New Roman" w:cstheme="minorHAnsi"/>
          <w:sz w:val="22"/>
        </w:rPr>
        <w:t xml:space="preserve"> and</w:t>
      </w:r>
      <w:r w:rsidRPr="00375C77">
        <w:rPr>
          <w:rFonts w:eastAsia="Times New Roman" w:cstheme="minorHAnsi"/>
          <w:sz w:val="22"/>
        </w:rPr>
        <w:t xml:space="preserve"> maintains required regulatory compliances.</w:t>
      </w:r>
    </w:p>
    <w:p w14:paraId="02ADA282" w14:textId="77777777" w:rsidR="00375C77" w:rsidRPr="00375C77" w:rsidRDefault="00375C77" w:rsidP="00250E3F">
      <w:pPr>
        <w:pStyle w:val="ListParagraph"/>
        <w:spacing w:after="0" w:line="240" w:lineRule="auto"/>
        <w:rPr>
          <w:rFonts w:eastAsia="Times New Roman" w:cstheme="minorHAnsi"/>
          <w:sz w:val="22"/>
        </w:rPr>
      </w:pPr>
    </w:p>
    <w:p w14:paraId="343A284F" w14:textId="71663286" w:rsidR="00194778" w:rsidRPr="00375C77" w:rsidRDefault="00194E3F" w:rsidP="00194778">
      <w:pPr>
        <w:pStyle w:val="ListParagraph"/>
        <w:spacing w:after="0" w:line="240" w:lineRule="auto"/>
        <w:rPr>
          <w:rFonts w:eastAsia="Times New Roman" w:cstheme="minorHAnsi"/>
          <w:sz w:val="22"/>
        </w:rPr>
      </w:pPr>
      <w:r w:rsidRPr="00375C77">
        <w:rPr>
          <w:rFonts w:eastAsia="Times New Roman" w:cstheme="minorHAnsi"/>
          <w:sz w:val="22"/>
        </w:rPr>
        <w:t xml:space="preserve">CMD provides services outside District boundaries to Schriever AFB and the Woodmen Hills/Meridian Ranch Development. System/infrastructure interconnections exist between CMD, CSU, Meridian Ranch MD, Meridian Service MD, and Woodmen Hills MD. </w:t>
      </w:r>
      <w:r w:rsidR="00EC371B" w:rsidRPr="00375C77">
        <w:rPr>
          <w:rFonts w:eastAsia="Times New Roman" w:cstheme="minorHAnsi"/>
          <w:sz w:val="22"/>
        </w:rPr>
        <w:t>Per the Water Master Plan, water supplies in Region 5 from current to 2060 build out are as follows</w:t>
      </w:r>
      <w:r w:rsidR="00375C77">
        <w:rPr>
          <w:rFonts w:eastAsia="Times New Roman" w:cstheme="minorHAnsi"/>
          <w:sz w:val="22"/>
        </w:rPr>
        <w:t xml:space="preserve"> (</w:t>
      </w:r>
      <w:r w:rsidR="00375C77" w:rsidRPr="00375C77">
        <w:rPr>
          <w:rFonts w:eastAsia="Times New Roman" w:cstheme="minorHAnsi"/>
          <w:i/>
          <w:iCs/>
          <w:sz w:val="22"/>
        </w:rPr>
        <w:t>taken from EPC WMP</w:t>
      </w:r>
      <w:r w:rsidR="00375C77">
        <w:rPr>
          <w:rFonts w:eastAsia="Times New Roman" w:cstheme="minorHAnsi"/>
          <w:sz w:val="22"/>
        </w:rPr>
        <w:t>)</w:t>
      </w:r>
      <w:r w:rsidR="00EC371B" w:rsidRPr="00375C77">
        <w:rPr>
          <w:rFonts w:eastAsia="Times New Roman" w:cstheme="minorHAnsi"/>
          <w:sz w:val="22"/>
        </w:rPr>
        <w:t>:</w:t>
      </w:r>
      <w:r w:rsidR="00194778" w:rsidRPr="00375C77">
        <w:rPr>
          <w:rFonts w:eastAsia="Times New Roman" w:cstheme="minorHAnsi"/>
          <w:sz w:val="22"/>
        </w:rPr>
        <w:t xml:space="preserve">  </w:t>
      </w:r>
    </w:p>
    <w:p w14:paraId="06F6CFC1" w14:textId="77777777" w:rsidR="00250E3F" w:rsidRPr="00375C77" w:rsidRDefault="00250E3F" w:rsidP="00194778">
      <w:pPr>
        <w:pStyle w:val="ListParagraph"/>
        <w:spacing w:after="0" w:line="240" w:lineRule="auto"/>
        <w:rPr>
          <w:rFonts w:eastAsia="Times New Roman" w:cstheme="minorHAnsi"/>
          <w:sz w:val="22"/>
        </w:rPr>
      </w:pPr>
    </w:p>
    <w:tbl>
      <w:tblPr>
        <w:tblW w:w="7892" w:type="dxa"/>
        <w:tblLook w:val="04A0" w:firstRow="1" w:lastRow="0" w:firstColumn="1" w:lastColumn="0" w:noHBand="0" w:noVBand="1"/>
      </w:tblPr>
      <w:tblGrid>
        <w:gridCol w:w="2462"/>
        <w:gridCol w:w="1911"/>
        <w:gridCol w:w="1638"/>
        <w:gridCol w:w="1881"/>
      </w:tblGrid>
      <w:tr w:rsidR="00EC371B" w:rsidRPr="00375C77" w14:paraId="40026D81" w14:textId="77777777" w:rsidTr="00EC371B">
        <w:trPr>
          <w:trHeight w:val="900"/>
        </w:trPr>
        <w:tc>
          <w:tcPr>
            <w:tcW w:w="2462" w:type="dxa"/>
            <w:tcBorders>
              <w:top w:val="single" w:sz="8" w:space="0" w:color="auto"/>
              <w:left w:val="single" w:sz="8" w:space="0" w:color="auto"/>
              <w:bottom w:val="single" w:sz="4" w:space="0" w:color="auto"/>
              <w:right w:val="single" w:sz="4" w:space="0" w:color="auto"/>
            </w:tcBorders>
            <w:shd w:val="clear" w:color="000000" w:fill="D9D9D9"/>
            <w:noWrap/>
            <w:hideMark/>
          </w:tcPr>
          <w:p w14:paraId="4A009F0A"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Planning Region  </w:t>
            </w:r>
          </w:p>
        </w:tc>
        <w:tc>
          <w:tcPr>
            <w:tcW w:w="1911" w:type="dxa"/>
            <w:tcBorders>
              <w:top w:val="single" w:sz="8" w:space="0" w:color="auto"/>
              <w:left w:val="nil"/>
              <w:bottom w:val="single" w:sz="4" w:space="0" w:color="auto"/>
              <w:right w:val="single" w:sz="4" w:space="0" w:color="auto"/>
            </w:tcBorders>
            <w:shd w:val="clear" w:color="000000" w:fill="D9D9D9"/>
            <w:hideMark/>
          </w:tcPr>
          <w:p w14:paraId="14E21AD4"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 Current Supplies (AF per year)</w:t>
            </w:r>
          </w:p>
        </w:tc>
        <w:tc>
          <w:tcPr>
            <w:tcW w:w="1638" w:type="dxa"/>
            <w:tcBorders>
              <w:top w:val="single" w:sz="8" w:space="0" w:color="auto"/>
              <w:left w:val="nil"/>
              <w:bottom w:val="single" w:sz="4" w:space="0" w:color="auto"/>
              <w:right w:val="single" w:sz="4" w:space="0" w:color="auto"/>
            </w:tcBorders>
            <w:shd w:val="clear" w:color="000000" w:fill="D9D9D9"/>
            <w:hideMark/>
          </w:tcPr>
          <w:p w14:paraId="412BE279"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2040 Supplies (AF per year)</w:t>
            </w:r>
          </w:p>
        </w:tc>
        <w:tc>
          <w:tcPr>
            <w:tcW w:w="1881" w:type="dxa"/>
            <w:tcBorders>
              <w:top w:val="single" w:sz="8" w:space="0" w:color="auto"/>
              <w:left w:val="nil"/>
              <w:bottom w:val="single" w:sz="4" w:space="0" w:color="auto"/>
              <w:right w:val="single" w:sz="8" w:space="0" w:color="auto"/>
            </w:tcBorders>
            <w:shd w:val="clear" w:color="000000" w:fill="D9D9D9"/>
            <w:hideMark/>
          </w:tcPr>
          <w:p w14:paraId="4B9C2348"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2060 Build-Out Supplies (AF per year)</w:t>
            </w:r>
          </w:p>
        </w:tc>
      </w:tr>
      <w:tr w:rsidR="00EC371B" w:rsidRPr="00375C77" w14:paraId="4D5A04F8" w14:textId="77777777" w:rsidTr="00EC371B">
        <w:trPr>
          <w:trHeight w:val="315"/>
        </w:trPr>
        <w:tc>
          <w:tcPr>
            <w:tcW w:w="2462" w:type="dxa"/>
            <w:tcBorders>
              <w:top w:val="nil"/>
              <w:left w:val="single" w:sz="8" w:space="0" w:color="auto"/>
              <w:bottom w:val="single" w:sz="8" w:space="0" w:color="auto"/>
              <w:right w:val="single" w:sz="4" w:space="0" w:color="auto"/>
            </w:tcBorders>
            <w:shd w:val="clear" w:color="auto" w:fill="auto"/>
            <w:noWrap/>
            <w:vAlign w:val="bottom"/>
            <w:hideMark/>
          </w:tcPr>
          <w:p w14:paraId="382FBA5E"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Region 5 </w:t>
            </w:r>
          </w:p>
        </w:tc>
        <w:tc>
          <w:tcPr>
            <w:tcW w:w="1911" w:type="dxa"/>
            <w:tcBorders>
              <w:top w:val="nil"/>
              <w:left w:val="nil"/>
              <w:bottom w:val="single" w:sz="8" w:space="0" w:color="auto"/>
              <w:right w:val="single" w:sz="4" w:space="0" w:color="auto"/>
            </w:tcBorders>
            <w:shd w:val="clear" w:color="auto" w:fill="auto"/>
            <w:vAlign w:val="bottom"/>
            <w:hideMark/>
          </w:tcPr>
          <w:p w14:paraId="1A0D6D16"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4,849</w:t>
            </w:r>
          </w:p>
        </w:tc>
        <w:tc>
          <w:tcPr>
            <w:tcW w:w="1638" w:type="dxa"/>
            <w:tcBorders>
              <w:top w:val="nil"/>
              <w:left w:val="nil"/>
              <w:bottom w:val="single" w:sz="8" w:space="0" w:color="auto"/>
              <w:right w:val="single" w:sz="4" w:space="0" w:color="auto"/>
            </w:tcBorders>
            <w:shd w:val="clear" w:color="auto" w:fill="auto"/>
            <w:vAlign w:val="bottom"/>
            <w:hideMark/>
          </w:tcPr>
          <w:p w14:paraId="101E9CAB"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6,800</w:t>
            </w:r>
          </w:p>
        </w:tc>
        <w:tc>
          <w:tcPr>
            <w:tcW w:w="1881" w:type="dxa"/>
            <w:tcBorders>
              <w:top w:val="nil"/>
              <w:left w:val="nil"/>
              <w:bottom w:val="single" w:sz="8" w:space="0" w:color="auto"/>
              <w:right w:val="single" w:sz="8" w:space="0" w:color="auto"/>
            </w:tcBorders>
            <w:shd w:val="clear" w:color="auto" w:fill="auto"/>
            <w:vAlign w:val="bottom"/>
            <w:hideMark/>
          </w:tcPr>
          <w:p w14:paraId="016CFE07"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10,131</w:t>
            </w:r>
          </w:p>
        </w:tc>
      </w:tr>
      <w:tr w:rsidR="00EC371B" w:rsidRPr="00375C77" w14:paraId="16D638CC" w14:textId="77777777" w:rsidTr="00EC371B">
        <w:trPr>
          <w:trHeight w:val="300"/>
        </w:trPr>
        <w:tc>
          <w:tcPr>
            <w:tcW w:w="7892" w:type="dxa"/>
            <w:gridSpan w:val="4"/>
            <w:tcBorders>
              <w:top w:val="nil"/>
              <w:left w:val="nil"/>
              <w:bottom w:val="nil"/>
              <w:right w:val="nil"/>
            </w:tcBorders>
            <w:shd w:val="clear" w:color="auto" w:fill="auto"/>
            <w:noWrap/>
            <w:vAlign w:val="bottom"/>
            <w:hideMark/>
          </w:tcPr>
          <w:p w14:paraId="117D814E" w14:textId="77777777" w:rsidR="00EC371B" w:rsidRPr="00375C77" w:rsidRDefault="00EC371B" w:rsidP="00EC371B">
            <w:pPr>
              <w:spacing w:after="0" w:line="240" w:lineRule="auto"/>
              <w:rPr>
                <w:rFonts w:eastAsia="Times New Roman" w:cstheme="minorHAnsi"/>
                <w:i/>
                <w:iCs/>
                <w:color w:val="000000"/>
                <w:szCs w:val="20"/>
              </w:rPr>
            </w:pPr>
            <w:r w:rsidRPr="00375C77">
              <w:rPr>
                <w:rFonts w:eastAsia="Times New Roman" w:cstheme="minorHAnsi"/>
                <w:i/>
                <w:iCs/>
                <w:color w:val="000000"/>
                <w:szCs w:val="20"/>
              </w:rPr>
              <w:t>Table 5</w:t>
            </w:r>
            <w:r w:rsidRPr="00375C77">
              <w:rPr>
                <w:rFonts w:ascii="Cambria Math" w:eastAsia="Times New Roman" w:hAnsi="Cambria Math" w:cs="Cambria Math"/>
                <w:i/>
                <w:iCs/>
                <w:color w:val="000000"/>
                <w:szCs w:val="20"/>
              </w:rPr>
              <w:t>‐</w:t>
            </w:r>
            <w:r w:rsidRPr="00375C77">
              <w:rPr>
                <w:rFonts w:eastAsia="Times New Roman" w:cstheme="minorHAnsi"/>
                <w:i/>
                <w:iCs/>
                <w:color w:val="000000"/>
                <w:szCs w:val="20"/>
              </w:rPr>
              <w:t>2: Current, 2040, and Build</w:t>
            </w:r>
            <w:r w:rsidRPr="00375C77">
              <w:rPr>
                <w:rFonts w:ascii="Cambria Math" w:eastAsia="Times New Roman" w:hAnsi="Cambria Math" w:cs="Cambria Math"/>
                <w:i/>
                <w:iCs/>
                <w:color w:val="000000"/>
                <w:szCs w:val="20"/>
              </w:rPr>
              <w:t>‐</w:t>
            </w:r>
            <w:r w:rsidRPr="00375C77">
              <w:rPr>
                <w:rFonts w:eastAsia="Times New Roman" w:cstheme="minorHAnsi"/>
                <w:i/>
                <w:iCs/>
                <w:color w:val="000000"/>
                <w:szCs w:val="20"/>
              </w:rPr>
              <w:t>Out Water Supply by El Paso County Planning Region</w:t>
            </w:r>
          </w:p>
        </w:tc>
      </w:tr>
    </w:tbl>
    <w:p w14:paraId="36293FF5" w14:textId="2F9322E3" w:rsidR="00194778" w:rsidRPr="00375C77" w:rsidRDefault="00194778" w:rsidP="00EC371B">
      <w:pPr>
        <w:spacing w:after="0" w:line="240" w:lineRule="auto"/>
        <w:rPr>
          <w:rFonts w:eastAsia="Times New Roman" w:cstheme="minorHAnsi"/>
          <w:sz w:val="22"/>
        </w:rPr>
      </w:pPr>
    </w:p>
    <w:tbl>
      <w:tblPr>
        <w:tblW w:w="8460" w:type="dxa"/>
        <w:tblLook w:val="04A0" w:firstRow="1" w:lastRow="0" w:firstColumn="1" w:lastColumn="0" w:noHBand="0" w:noVBand="1"/>
      </w:tblPr>
      <w:tblGrid>
        <w:gridCol w:w="1620"/>
        <w:gridCol w:w="1720"/>
        <w:gridCol w:w="1360"/>
        <w:gridCol w:w="1680"/>
        <w:gridCol w:w="1120"/>
        <w:gridCol w:w="960"/>
      </w:tblGrid>
      <w:tr w:rsidR="00EC371B" w:rsidRPr="00375C77" w14:paraId="2E299810" w14:textId="77777777" w:rsidTr="00EC371B">
        <w:trPr>
          <w:trHeight w:val="300"/>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5EC4D828"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Planning Region  </w:t>
            </w:r>
          </w:p>
        </w:tc>
        <w:tc>
          <w:tcPr>
            <w:tcW w:w="1720" w:type="dxa"/>
            <w:tcBorders>
              <w:top w:val="single" w:sz="8" w:space="0" w:color="auto"/>
              <w:left w:val="nil"/>
              <w:bottom w:val="single" w:sz="4" w:space="0" w:color="auto"/>
              <w:right w:val="single" w:sz="4" w:space="0" w:color="auto"/>
            </w:tcBorders>
            <w:shd w:val="clear" w:color="000000" w:fill="D9D9D9"/>
            <w:noWrap/>
            <w:vAlign w:val="bottom"/>
            <w:hideMark/>
          </w:tcPr>
          <w:p w14:paraId="40A55517"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Demand (AF)</w:t>
            </w:r>
          </w:p>
        </w:tc>
        <w:tc>
          <w:tcPr>
            <w:tcW w:w="1360" w:type="dxa"/>
            <w:tcBorders>
              <w:top w:val="single" w:sz="8" w:space="0" w:color="auto"/>
              <w:left w:val="nil"/>
              <w:bottom w:val="single" w:sz="4" w:space="0" w:color="auto"/>
              <w:right w:val="single" w:sz="4" w:space="0" w:color="auto"/>
            </w:tcBorders>
            <w:shd w:val="clear" w:color="000000" w:fill="D9D9D9"/>
            <w:noWrap/>
            <w:vAlign w:val="bottom"/>
            <w:hideMark/>
          </w:tcPr>
          <w:p w14:paraId="21BE360A"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Supplies (AF)</w:t>
            </w:r>
          </w:p>
        </w:tc>
        <w:tc>
          <w:tcPr>
            <w:tcW w:w="1680" w:type="dxa"/>
            <w:tcBorders>
              <w:top w:val="single" w:sz="8" w:space="0" w:color="auto"/>
              <w:left w:val="nil"/>
              <w:bottom w:val="single" w:sz="4" w:space="0" w:color="auto"/>
              <w:right w:val="single" w:sz="4" w:space="0" w:color="auto"/>
            </w:tcBorders>
            <w:shd w:val="clear" w:color="000000" w:fill="D9D9D9"/>
            <w:noWrap/>
            <w:vAlign w:val="bottom"/>
            <w:hideMark/>
          </w:tcPr>
          <w:p w14:paraId="192BD994"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Average-Year Surplus** (AF)</w:t>
            </w:r>
          </w:p>
        </w:tc>
        <w:tc>
          <w:tcPr>
            <w:tcW w:w="1120" w:type="dxa"/>
            <w:tcBorders>
              <w:top w:val="single" w:sz="8" w:space="0" w:color="auto"/>
              <w:left w:val="nil"/>
              <w:bottom w:val="single" w:sz="4" w:space="0" w:color="auto"/>
              <w:right w:val="single" w:sz="4" w:space="0" w:color="auto"/>
            </w:tcBorders>
            <w:shd w:val="clear" w:color="000000" w:fill="D9D9D9"/>
            <w:noWrap/>
            <w:vAlign w:val="bottom"/>
            <w:hideMark/>
          </w:tcPr>
          <w:p w14:paraId="4246C23B"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(AF)</w:t>
            </w:r>
          </w:p>
        </w:tc>
        <w:tc>
          <w:tcPr>
            <w:tcW w:w="960" w:type="dxa"/>
            <w:tcBorders>
              <w:top w:val="single" w:sz="8" w:space="0" w:color="auto"/>
              <w:left w:val="nil"/>
              <w:bottom w:val="single" w:sz="4" w:space="0" w:color="auto"/>
              <w:right w:val="single" w:sz="8" w:space="0" w:color="auto"/>
            </w:tcBorders>
            <w:shd w:val="clear" w:color="000000" w:fill="D9D9D9"/>
            <w:noWrap/>
            <w:vAlign w:val="bottom"/>
            <w:hideMark/>
          </w:tcPr>
          <w:p w14:paraId="2F962581"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w:t>
            </w:r>
          </w:p>
        </w:tc>
      </w:tr>
      <w:tr w:rsidR="00EC371B" w:rsidRPr="00375C77" w14:paraId="44D66550" w14:textId="77777777" w:rsidTr="00EC371B">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0CBB5B42"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Region 5 </w:t>
            </w:r>
          </w:p>
        </w:tc>
        <w:tc>
          <w:tcPr>
            <w:tcW w:w="1720" w:type="dxa"/>
            <w:tcBorders>
              <w:top w:val="nil"/>
              <w:left w:val="nil"/>
              <w:bottom w:val="single" w:sz="8" w:space="0" w:color="auto"/>
              <w:right w:val="single" w:sz="4" w:space="0" w:color="auto"/>
            </w:tcBorders>
            <w:shd w:val="clear" w:color="auto" w:fill="auto"/>
            <w:vAlign w:val="bottom"/>
            <w:hideMark/>
          </w:tcPr>
          <w:p w14:paraId="0AA8A45C"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4,396</w:t>
            </w:r>
          </w:p>
        </w:tc>
        <w:tc>
          <w:tcPr>
            <w:tcW w:w="1360" w:type="dxa"/>
            <w:tcBorders>
              <w:top w:val="nil"/>
              <w:left w:val="nil"/>
              <w:bottom w:val="single" w:sz="8" w:space="0" w:color="auto"/>
              <w:right w:val="single" w:sz="4" w:space="0" w:color="auto"/>
            </w:tcBorders>
            <w:shd w:val="clear" w:color="auto" w:fill="auto"/>
            <w:vAlign w:val="bottom"/>
            <w:hideMark/>
          </w:tcPr>
          <w:p w14:paraId="02B60570"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4,849</w:t>
            </w:r>
          </w:p>
        </w:tc>
        <w:tc>
          <w:tcPr>
            <w:tcW w:w="1680" w:type="dxa"/>
            <w:tcBorders>
              <w:top w:val="nil"/>
              <w:left w:val="nil"/>
              <w:bottom w:val="single" w:sz="8" w:space="0" w:color="auto"/>
              <w:right w:val="single" w:sz="4" w:space="0" w:color="auto"/>
            </w:tcBorders>
            <w:shd w:val="clear" w:color="auto" w:fill="auto"/>
            <w:vAlign w:val="bottom"/>
            <w:hideMark/>
          </w:tcPr>
          <w:p w14:paraId="1BFB4D04"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453</w:t>
            </w:r>
          </w:p>
        </w:tc>
        <w:tc>
          <w:tcPr>
            <w:tcW w:w="1120" w:type="dxa"/>
            <w:tcBorders>
              <w:top w:val="nil"/>
              <w:left w:val="nil"/>
              <w:bottom w:val="single" w:sz="8" w:space="0" w:color="auto"/>
              <w:right w:val="single" w:sz="4" w:space="0" w:color="auto"/>
            </w:tcBorders>
            <w:shd w:val="clear" w:color="auto" w:fill="auto"/>
            <w:noWrap/>
            <w:vAlign w:val="bottom"/>
            <w:hideMark/>
          </w:tcPr>
          <w:p w14:paraId="12C65632"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0</w:t>
            </w:r>
          </w:p>
        </w:tc>
        <w:tc>
          <w:tcPr>
            <w:tcW w:w="960" w:type="dxa"/>
            <w:tcBorders>
              <w:top w:val="nil"/>
              <w:left w:val="nil"/>
              <w:bottom w:val="single" w:sz="8" w:space="0" w:color="auto"/>
              <w:right w:val="single" w:sz="8" w:space="0" w:color="auto"/>
            </w:tcBorders>
            <w:shd w:val="clear" w:color="auto" w:fill="auto"/>
            <w:noWrap/>
            <w:vAlign w:val="bottom"/>
            <w:hideMark/>
          </w:tcPr>
          <w:p w14:paraId="5DE56812"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0%</w:t>
            </w:r>
          </w:p>
        </w:tc>
      </w:tr>
      <w:tr w:rsidR="00EC371B" w:rsidRPr="00375C77" w14:paraId="51F0E553" w14:textId="77777777" w:rsidTr="00EC371B">
        <w:trPr>
          <w:trHeight w:val="300"/>
        </w:trPr>
        <w:tc>
          <w:tcPr>
            <w:tcW w:w="8460" w:type="dxa"/>
            <w:gridSpan w:val="6"/>
            <w:tcBorders>
              <w:top w:val="nil"/>
              <w:left w:val="nil"/>
              <w:bottom w:val="nil"/>
              <w:right w:val="nil"/>
            </w:tcBorders>
            <w:shd w:val="clear" w:color="auto" w:fill="auto"/>
            <w:noWrap/>
            <w:vAlign w:val="bottom"/>
            <w:hideMark/>
          </w:tcPr>
          <w:p w14:paraId="6FF981AE" w14:textId="77777777" w:rsidR="00EC371B" w:rsidRPr="00375C77" w:rsidRDefault="00EC371B" w:rsidP="00EC371B">
            <w:pPr>
              <w:spacing w:after="0" w:line="240" w:lineRule="auto"/>
              <w:rPr>
                <w:rFonts w:eastAsia="Times New Roman" w:cstheme="minorHAnsi"/>
                <w:i/>
                <w:iCs/>
                <w:color w:val="000000"/>
                <w:szCs w:val="20"/>
              </w:rPr>
            </w:pPr>
            <w:r w:rsidRPr="00375C77">
              <w:rPr>
                <w:rFonts w:eastAsia="Times New Roman" w:cstheme="minorHAnsi"/>
                <w:i/>
                <w:iCs/>
                <w:color w:val="000000"/>
                <w:szCs w:val="20"/>
              </w:rPr>
              <w:t>Table 5-3: Current Demand and Current Supplies by El Paso County Planning Region</w:t>
            </w:r>
          </w:p>
        </w:tc>
      </w:tr>
      <w:tr w:rsidR="00EC371B" w:rsidRPr="00375C77" w14:paraId="31E963A3" w14:textId="77777777" w:rsidTr="00EC371B">
        <w:trPr>
          <w:trHeight w:val="315"/>
        </w:trPr>
        <w:tc>
          <w:tcPr>
            <w:tcW w:w="1620" w:type="dxa"/>
            <w:tcBorders>
              <w:top w:val="nil"/>
              <w:left w:val="nil"/>
              <w:bottom w:val="nil"/>
              <w:right w:val="nil"/>
            </w:tcBorders>
            <w:shd w:val="clear" w:color="auto" w:fill="auto"/>
            <w:noWrap/>
            <w:vAlign w:val="bottom"/>
            <w:hideMark/>
          </w:tcPr>
          <w:p w14:paraId="219A7766" w14:textId="77777777" w:rsidR="00EC371B" w:rsidRPr="00375C77" w:rsidRDefault="00EC371B" w:rsidP="00EC371B">
            <w:pPr>
              <w:spacing w:after="0" w:line="240" w:lineRule="auto"/>
              <w:rPr>
                <w:rFonts w:eastAsia="Times New Roman" w:cstheme="minorHAnsi"/>
                <w:i/>
                <w:iCs/>
                <w:color w:val="000000"/>
                <w:sz w:val="22"/>
              </w:rPr>
            </w:pPr>
          </w:p>
        </w:tc>
        <w:tc>
          <w:tcPr>
            <w:tcW w:w="1720" w:type="dxa"/>
            <w:tcBorders>
              <w:top w:val="nil"/>
              <w:left w:val="nil"/>
              <w:bottom w:val="nil"/>
              <w:right w:val="nil"/>
            </w:tcBorders>
            <w:shd w:val="clear" w:color="auto" w:fill="auto"/>
            <w:vAlign w:val="bottom"/>
            <w:hideMark/>
          </w:tcPr>
          <w:p w14:paraId="3DE33A27" w14:textId="77777777" w:rsidR="00EC371B" w:rsidRPr="00375C77" w:rsidRDefault="00EC371B" w:rsidP="00EC371B">
            <w:pPr>
              <w:spacing w:after="0" w:line="240" w:lineRule="auto"/>
              <w:rPr>
                <w:rFonts w:eastAsia="Times New Roman" w:cstheme="minorHAnsi"/>
                <w:szCs w:val="20"/>
              </w:rPr>
            </w:pPr>
          </w:p>
        </w:tc>
        <w:tc>
          <w:tcPr>
            <w:tcW w:w="1360" w:type="dxa"/>
            <w:tcBorders>
              <w:top w:val="nil"/>
              <w:left w:val="nil"/>
              <w:bottom w:val="nil"/>
              <w:right w:val="nil"/>
            </w:tcBorders>
            <w:shd w:val="clear" w:color="auto" w:fill="auto"/>
            <w:vAlign w:val="bottom"/>
            <w:hideMark/>
          </w:tcPr>
          <w:p w14:paraId="513AC98D" w14:textId="77777777" w:rsidR="00EC371B" w:rsidRPr="00375C77" w:rsidRDefault="00EC371B" w:rsidP="00EC371B">
            <w:pPr>
              <w:spacing w:after="0" w:line="240" w:lineRule="auto"/>
              <w:rPr>
                <w:rFonts w:eastAsia="Times New Roman" w:cstheme="minorHAnsi"/>
                <w:szCs w:val="20"/>
              </w:rPr>
            </w:pPr>
          </w:p>
        </w:tc>
        <w:tc>
          <w:tcPr>
            <w:tcW w:w="1680" w:type="dxa"/>
            <w:tcBorders>
              <w:top w:val="nil"/>
              <w:left w:val="nil"/>
              <w:bottom w:val="nil"/>
              <w:right w:val="nil"/>
            </w:tcBorders>
            <w:shd w:val="clear" w:color="auto" w:fill="auto"/>
            <w:vAlign w:val="bottom"/>
            <w:hideMark/>
          </w:tcPr>
          <w:p w14:paraId="575308D4" w14:textId="77777777" w:rsidR="00EC371B" w:rsidRPr="00375C77" w:rsidRDefault="00EC371B" w:rsidP="00EC371B">
            <w:pPr>
              <w:spacing w:after="0" w:line="240" w:lineRule="auto"/>
              <w:rPr>
                <w:rFonts w:eastAsia="Times New Roman" w:cstheme="minorHAnsi"/>
                <w:szCs w:val="20"/>
              </w:rPr>
            </w:pPr>
          </w:p>
        </w:tc>
        <w:tc>
          <w:tcPr>
            <w:tcW w:w="1120" w:type="dxa"/>
            <w:tcBorders>
              <w:top w:val="nil"/>
              <w:left w:val="nil"/>
              <w:bottom w:val="nil"/>
              <w:right w:val="nil"/>
            </w:tcBorders>
            <w:shd w:val="clear" w:color="auto" w:fill="auto"/>
            <w:noWrap/>
            <w:vAlign w:val="bottom"/>
            <w:hideMark/>
          </w:tcPr>
          <w:p w14:paraId="2786885B" w14:textId="77777777" w:rsidR="00EC371B" w:rsidRPr="00375C77" w:rsidRDefault="00EC371B" w:rsidP="00EC371B">
            <w:pPr>
              <w:spacing w:after="0" w:line="240" w:lineRule="auto"/>
              <w:rPr>
                <w:rFonts w:eastAsia="Times New Roman" w:cstheme="minorHAnsi"/>
                <w:szCs w:val="20"/>
              </w:rPr>
            </w:pPr>
          </w:p>
        </w:tc>
        <w:tc>
          <w:tcPr>
            <w:tcW w:w="960" w:type="dxa"/>
            <w:tcBorders>
              <w:top w:val="nil"/>
              <w:left w:val="nil"/>
              <w:bottom w:val="nil"/>
              <w:right w:val="nil"/>
            </w:tcBorders>
            <w:shd w:val="clear" w:color="auto" w:fill="auto"/>
            <w:noWrap/>
            <w:vAlign w:val="bottom"/>
            <w:hideMark/>
          </w:tcPr>
          <w:p w14:paraId="6F29CEA4" w14:textId="77777777" w:rsidR="00EC371B" w:rsidRPr="00375C77" w:rsidRDefault="00EC371B" w:rsidP="00EC371B">
            <w:pPr>
              <w:spacing w:after="0" w:line="240" w:lineRule="auto"/>
              <w:rPr>
                <w:rFonts w:eastAsia="Times New Roman" w:cstheme="minorHAnsi"/>
                <w:szCs w:val="20"/>
              </w:rPr>
            </w:pPr>
          </w:p>
        </w:tc>
      </w:tr>
      <w:tr w:rsidR="00EC371B" w:rsidRPr="00375C77" w14:paraId="55C9EF45" w14:textId="77777777" w:rsidTr="00EC371B">
        <w:trPr>
          <w:trHeight w:val="900"/>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61A03A02"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Planning Region  </w:t>
            </w:r>
          </w:p>
        </w:tc>
        <w:tc>
          <w:tcPr>
            <w:tcW w:w="1720" w:type="dxa"/>
            <w:tcBorders>
              <w:top w:val="single" w:sz="8" w:space="0" w:color="auto"/>
              <w:left w:val="nil"/>
              <w:bottom w:val="single" w:sz="4" w:space="0" w:color="auto"/>
              <w:right w:val="single" w:sz="4" w:space="0" w:color="auto"/>
            </w:tcBorders>
            <w:shd w:val="clear" w:color="000000" w:fill="D9D9D9"/>
            <w:hideMark/>
          </w:tcPr>
          <w:p w14:paraId="5ADE37BD"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2040 </w:t>
            </w:r>
            <w:proofErr w:type="gramStart"/>
            <w:r w:rsidRPr="00375C77">
              <w:rPr>
                <w:rFonts w:eastAsia="Times New Roman" w:cstheme="minorHAnsi"/>
                <w:b/>
                <w:bCs/>
                <w:color w:val="000000"/>
                <w:sz w:val="22"/>
              </w:rPr>
              <w:t>Demand  (</w:t>
            </w:r>
            <w:proofErr w:type="gramEnd"/>
            <w:r w:rsidRPr="00375C77">
              <w:rPr>
                <w:rFonts w:eastAsia="Times New Roman" w:cstheme="minorHAnsi"/>
                <w:b/>
                <w:bCs/>
                <w:color w:val="000000"/>
                <w:sz w:val="22"/>
              </w:rPr>
              <w:t>AF) Need (AF) Need (%)</w:t>
            </w:r>
          </w:p>
        </w:tc>
        <w:tc>
          <w:tcPr>
            <w:tcW w:w="1360" w:type="dxa"/>
            <w:tcBorders>
              <w:top w:val="single" w:sz="8" w:space="0" w:color="auto"/>
              <w:left w:val="nil"/>
              <w:bottom w:val="single" w:sz="4" w:space="0" w:color="auto"/>
              <w:right w:val="single" w:sz="4" w:space="0" w:color="auto"/>
            </w:tcBorders>
            <w:shd w:val="clear" w:color="000000" w:fill="D9D9D9"/>
            <w:hideMark/>
          </w:tcPr>
          <w:p w14:paraId="1A0D45C6"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 Current Supplies (AF)</w:t>
            </w:r>
          </w:p>
        </w:tc>
        <w:tc>
          <w:tcPr>
            <w:tcW w:w="1680" w:type="dxa"/>
            <w:tcBorders>
              <w:top w:val="single" w:sz="8" w:space="0" w:color="auto"/>
              <w:left w:val="nil"/>
              <w:bottom w:val="single" w:sz="4" w:space="0" w:color="auto"/>
              <w:right w:val="single" w:sz="4" w:space="0" w:color="auto"/>
            </w:tcBorders>
            <w:shd w:val="clear" w:color="000000" w:fill="D9D9D9"/>
            <w:hideMark/>
          </w:tcPr>
          <w:p w14:paraId="0A3A76EE"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(AF) Average-Year Surplus**</w:t>
            </w:r>
          </w:p>
        </w:tc>
        <w:tc>
          <w:tcPr>
            <w:tcW w:w="1120" w:type="dxa"/>
            <w:tcBorders>
              <w:top w:val="single" w:sz="8" w:space="0" w:color="auto"/>
              <w:left w:val="nil"/>
              <w:bottom w:val="single" w:sz="4" w:space="0" w:color="auto"/>
              <w:right w:val="single" w:sz="4" w:space="0" w:color="auto"/>
            </w:tcBorders>
            <w:shd w:val="clear" w:color="000000" w:fill="D9D9D9"/>
            <w:noWrap/>
            <w:hideMark/>
          </w:tcPr>
          <w:p w14:paraId="7FF12C33"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(AF)</w:t>
            </w:r>
          </w:p>
        </w:tc>
        <w:tc>
          <w:tcPr>
            <w:tcW w:w="960" w:type="dxa"/>
            <w:tcBorders>
              <w:top w:val="single" w:sz="8" w:space="0" w:color="auto"/>
              <w:left w:val="nil"/>
              <w:bottom w:val="single" w:sz="4" w:space="0" w:color="auto"/>
              <w:right w:val="single" w:sz="8" w:space="0" w:color="auto"/>
            </w:tcBorders>
            <w:shd w:val="clear" w:color="000000" w:fill="D9D9D9"/>
            <w:noWrap/>
            <w:hideMark/>
          </w:tcPr>
          <w:p w14:paraId="62399304"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w:t>
            </w:r>
          </w:p>
        </w:tc>
      </w:tr>
      <w:tr w:rsidR="00EC371B" w:rsidRPr="00375C77" w14:paraId="6F815D06" w14:textId="77777777" w:rsidTr="00EC371B">
        <w:trPr>
          <w:trHeight w:val="315"/>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3EED1CB5"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Region 5 </w:t>
            </w:r>
          </w:p>
        </w:tc>
        <w:tc>
          <w:tcPr>
            <w:tcW w:w="1720" w:type="dxa"/>
            <w:tcBorders>
              <w:top w:val="nil"/>
              <w:left w:val="nil"/>
              <w:bottom w:val="single" w:sz="8" w:space="0" w:color="auto"/>
              <w:right w:val="single" w:sz="4" w:space="0" w:color="auto"/>
            </w:tcBorders>
            <w:shd w:val="clear" w:color="auto" w:fill="auto"/>
            <w:vAlign w:val="bottom"/>
            <w:hideMark/>
          </w:tcPr>
          <w:p w14:paraId="29732226"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6,468</w:t>
            </w:r>
          </w:p>
        </w:tc>
        <w:tc>
          <w:tcPr>
            <w:tcW w:w="1360" w:type="dxa"/>
            <w:tcBorders>
              <w:top w:val="nil"/>
              <w:left w:val="nil"/>
              <w:bottom w:val="single" w:sz="8" w:space="0" w:color="auto"/>
              <w:right w:val="single" w:sz="4" w:space="0" w:color="auto"/>
            </w:tcBorders>
            <w:shd w:val="clear" w:color="auto" w:fill="auto"/>
            <w:vAlign w:val="bottom"/>
            <w:hideMark/>
          </w:tcPr>
          <w:p w14:paraId="40F1CFD7"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4,849</w:t>
            </w:r>
          </w:p>
        </w:tc>
        <w:tc>
          <w:tcPr>
            <w:tcW w:w="1680" w:type="dxa"/>
            <w:tcBorders>
              <w:top w:val="nil"/>
              <w:left w:val="nil"/>
              <w:bottom w:val="single" w:sz="8" w:space="0" w:color="auto"/>
              <w:right w:val="single" w:sz="4" w:space="0" w:color="auto"/>
            </w:tcBorders>
            <w:shd w:val="clear" w:color="auto" w:fill="auto"/>
            <w:vAlign w:val="bottom"/>
            <w:hideMark/>
          </w:tcPr>
          <w:p w14:paraId="17BF4240"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0</w:t>
            </w:r>
          </w:p>
        </w:tc>
        <w:tc>
          <w:tcPr>
            <w:tcW w:w="1120" w:type="dxa"/>
            <w:tcBorders>
              <w:top w:val="nil"/>
              <w:left w:val="nil"/>
              <w:bottom w:val="single" w:sz="8" w:space="0" w:color="auto"/>
              <w:right w:val="single" w:sz="4" w:space="0" w:color="auto"/>
            </w:tcBorders>
            <w:shd w:val="clear" w:color="auto" w:fill="auto"/>
            <w:vAlign w:val="bottom"/>
            <w:hideMark/>
          </w:tcPr>
          <w:p w14:paraId="1F5D4E3E"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1,619</w:t>
            </w:r>
          </w:p>
        </w:tc>
        <w:tc>
          <w:tcPr>
            <w:tcW w:w="960" w:type="dxa"/>
            <w:tcBorders>
              <w:top w:val="nil"/>
              <w:left w:val="nil"/>
              <w:bottom w:val="single" w:sz="8" w:space="0" w:color="auto"/>
              <w:right w:val="single" w:sz="8" w:space="0" w:color="auto"/>
            </w:tcBorders>
            <w:shd w:val="clear" w:color="auto" w:fill="auto"/>
            <w:noWrap/>
            <w:vAlign w:val="bottom"/>
            <w:hideMark/>
          </w:tcPr>
          <w:p w14:paraId="598F74D1" w14:textId="77777777" w:rsidR="00EC371B" w:rsidRPr="00375C77" w:rsidRDefault="00EC371B" w:rsidP="00EC371B">
            <w:pPr>
              <w:spacing w:after="0" w:line="240" w:lineRule="auto"/>
              <w:jc w:val="right"/>
              <w:rPr>
                <w:rFonts w:eastAsia="Times New Roman" w:cstheme="minorHAnsi"/>
                <w:b/>
                <w:bCs/>
                <w:color w:val="000000"/>
                <w:sz w:val="22"/>
              </w:rPr>
            </w:pPr>
            <w:r w:rsidRPr="00375C77">
              <w:rPr>
                <w:rFonts w:eastAsia="Times New Roman" w:cstheme="minorHAnsi"/>
                <w:b/>
                <w:bCs/>
                <w:color w:val="000000"/>
                <w:sz w:val="22"/>
              </w:rPr>
              <w:t>25%</w:t>
            </w:r>
          </w:p>
        </w:tc>
      </w:tr>
      <w:tr w:rsidR="00EC371B" w:rsidRPr="00375C77" w14:paraId="702B187C" w14:textId="77777777" w:rsidTr="00EC371B">
        <w:trPr>
          <w:trHeight w:val="300"/>
        </w:trPr>
        <w:tc>
          <w:tcPr>
            <w:tcW w:w="8460" w:type="dxa"/>
            <w:gridSpan w:val="6"/>
            <w:tcBorders>
              <w:top w:val="nil"/>
              <w:left w:val="nil"/>
              <w:bottom w:val="nil"/>
              <w:right w:val="nil"/>
            </w:tcBorders>
            <w:shd w:val="clear" w:color="auto" w:fill="auto"/>
            <w:noWrap/>
            <w:vAlign w:val="bottom"/>
            <w:hideMark/>
          </w:tcPr>
          <w:p w14:paraId="50DAACFC" w14:textId="77777777" w:rsidR="00EC371B" w:rsidRPr="00375C77" w:rsidRDefault="00EC371B" w:rsidP="00EC371B">
            <w:pPr>
              <w:spacing w:after="0" w:line="240" w:lineRule="auto"/>
              <w:rPr>
                <w:rFonts w:eastAsia="Times New Roman" w:cstheme="minorHAnsi"/>
                <w:i/>
                <w:iCs/>
                <w:color w:val="000000"/>
                <w:szCs w:val="20"/>
              </w:rPr>
            </w:pPr>
            <w:r w:rsidRPr="00375C77">
              <w:rPr>
                <w:rFonts w:eastAsia="Times New Roman" w:cstheme="minorHAnsi"/>
                <w:i/>
                <w:iCs/>
                <w:color w:val="000000"/>
                <w:szCs w:val="20"/>
              </w:rPr>
              <w:t>Table 5-4: Future (2040) Demand and Current Supplies by El Paso County Planning Region</w:t>
            </w:r>
          </w:p>
        </w:tc>
      </w:tr>
      <w:tr w:rsidR="00EC371B" w:rsidRPr="00375C77" w14:paraId="7977DAAA" w14:textId="77777777" w:rsidTr="00EC371B">
        <w:trPr>
          <w:trHeight w:val="315"/>
        </w:trPr>
        <w:tc>
          <w:tcPr>
            <w:tcW w:w="1620" w:type="dxa"/>
            <w:tcBorders>
              <w:top w:val="nil"/>
              <w:left w:val="nil"/>
              <w:bottom w:val="nil"/>
              <w:right w:val="nil"/>
            </w:tcBorders>
            <w:shd w:val="clear" w:color="auto" w:fill="auto"/>
            <w:noWrap/>
            <w:vAlign w:val="bottom"/>
            <w:hideMark/>
          </w:tcPr>
          <w:p w14:paraId="40573E30" w14:textId="77777777" w:rsidR="00EC371B" w:rsidRPr="00375C77" w:rsidRDefault="00EC371B" w:rsidP="00EC371B">
            <w:pPr>
              <w:spacing w:after="0" w:line="240" w:lineRule="auto"/>
              <w:rPr>
                <w:rFonts w:eastAsia="Times New Roman" w:cstheme="minorHAnsi"/>
                <w:i/>
                <w:iCs/>
                <w:color w:val="000000"/>
                <w:sz w:val="22"/>
              </w:rPr>
            </w:pPr>
          </w:p>
        </w:tc>
        <w:tc>
          <w:tcPr>
            <w:tcW w:w="1720" w:type="dxa"/>
            <w:tcBorders>
              <w:top w:val="nil"/>
              <w:left w:val="nil"/>
              <w:bottom w:val="nil"/>
              <w:right w:val="nil"/>
            </w:tcBorders>
            <w:shd w:val="clear" w:color="auto" w:fill="auto"/>
            <w:vAlign w:val="bottom"/>
            <w:hideMark/>
          </w:tcPr>
          <w:p w14:paraId="6DF99C10" w14:textId="77777777" w:rsidR="00EC371B" w:rsidRPr="00375C77" w:rsidRDefault="00EC371B" w:rsidP="00EC371B">
            <w:pPr>
              <w:spacing w:after="0" w:line="240" w:lineRule="auto"/>
              <w:rPr>
                <w:rFonts w:eastAsia="Times New Roman" w:cstheme="minorHAnsi"/>
                <w:szCs w:val="20"/>
              </w:rPr>
            </w:pPr>
          </w:p>
        </w:tc>
        <w:tc>
          <w:tcPr>
            <w:tcW w:w="1360" w:type="dxa"/>
            <w:tcBorders>
              <w:top w:val="nil"/>
              <w:left w:val="nil"/>
              <w:bottom w:val="nil"/>
              <w:right w:val="nil"/>
            </w:tcBorders>
            <w:shd w:val="clear" w:color="auto" w:fill="auto"/>
            <w:vAlign w:val="bottom"/>
            <w:hideMark/>
          </w:tcPr>
          <w:p w14:paraId="1BE50FD8" w14:textId="77777777" w:rsidR="00EC371B" w:rsidRPr="00375C77" w:rsidRDefault="00EC371B" w:rsidP="00EC371B">
            <w:pPr>
              <w:spacing w:after="0" w:line="240" w:lineRule="auto"/>
              <w:rPr>
                <w:rFonts w:eastAsia="Times New Roman" w:cstheme="minorHAnsi"/>
                <w:szCs w:val="20"/>
              </w:rPr>
            </w:pPr>
          </w:p>
        </w:tc>
        <w:tc>
          <w:tcPr>
            <w:tcW w:w="1680" w:type="dxa"/>
            <w:tcBorders>
              <w:top w:val="nil"/>
              <w:left w:val="nil"/>
              <w:bottom w:val="nil"/>
              <w:right w:val="nil"/>
            </w:tcBorders>
            <w:shd w:val="clear" w:color="auto" w:fill="auto"/>
            <w:vAlign w:val="bottom"/>
            <w:hideMark/>
          </w:tcPr>
          <w:p w14:paraId="3D9D9907" w14:textId="77777777" w:rsidR="00EC371B" w:rsidRPr="00375C77" w:rsidRDefault="00EC371B" w:rsidP="00EC371B">
            <w:pPr>
              <w:spacing w:after="0" w:line="240" w:lineRule="auto"/>
              <w:rPr>
                <w:rFonts w:eastAsia="Times New Roman" w:cstheme="minorHAnsi"/>
                <w:szCs w:val="20"/>
              </w:rPr>
            </w:pPr>
          </w:p>
        </w:tc>
        <w:tc>
          <w:tcPr>
            <w:tcW w:w="1120" w:type="dxa"/>
            <w:tcBorders>
              <w:top w:val="nil"/>
              <w:left w:val="nil"/>
              <w:bottom w:val="nil"/>
              <w:right w:val="nil"/>
            </w:tcBorders>
            <w:shd w:val="clear" w:color="auto" w:fill="auto"/>
            <w:noWrap/>
            <w:vAlign w:val="bottom"/>
            <w:hideMark/>
          </w:tcPr>
          <w:p w14:paraId="620466ED" w14:textId="77777777" w:rsidR="00EC371B" w:rsidRPr="00375C77" w:rsidRDefault="00EC371B" w:rsidP="00EC371B">
            <w:pPr>
              <w:spacing w:after="0" w:line="240" w:lineRule="auto"/>
              <w:rPr>
                <w:rFonts w:eastAsia="Times New Roman" w:cstheme="minorHAnsi"/>
                <w:szCs w:val="20"/>
              </w:rPr>
            </w:pPr>
          </w:p>
        </w:tc>
        <w:tc>
          <w:tcPr>
            <w:tcW w:w="960" w:type="dxa"/>
            <w:tcBorders>
              <w:top w:val="nil"/>
              <w:left w:val="nil"/>
              <w:bottom w:val="nil"/>
              <w:right w:val="nil"/>
            </w:tcBorders>
            <w:shd w:val="clear" w:color="auto" w:fill="auto"/>
            <w:noWrap/>
            <w:vAlign w:val="bottom"/>
            <w:hideMark/>
          </w:tcPr>
          <w:p w14:paraId="5DED7394" w14:textId="77777777" w:rsidR="00EC371B" w:rsidRPr="00375C77" w:rsidRDefault="00EC371B" w:rsidP="00EC371B">
            <w:pPr>
              <w:spacing w:after="0" w:line="240" w:lineRule="auto"/>
              <w:rPr>
                <w:rFonts w:eastAsia="Times New Roman" w:cstheme="minorHAnsi"/>
                <w:szCs w:val="20"/>
              </w:rPr>
            </w:pPr>
          </w:p>
        </w:tc>
      </w:tr>
      <w:tr w:rsidR="00EC371B" w:rsidRPr="00375C77" w14:paraId="558E6289" w14:textId="77777777" w:rsidTr="00EC371B">
        <w:trPr>
          <w:trHeight w:val="615"/>
        </w:trPr>
        <w:tc>
          <w:tcPr>
            <w:tcW w:w="1620" w:type="dxa"/>
            <w:tcBorders>
              <w:top w:val="single" w:sz="8" w:space="0" w:color="auto"/>
              <w:left w:val="single" w:sz="8" w:space="0" w:color="auto"/>
              <w:bottom w:val="single" w:sz="4" w:space="0" w:color="auto"/>
              <w:right w:val="single" w:sz="4" w:space="0" w:color="auto"/>
            </w:tcBorders>
            <w:shd w:val="clear" w:color="000000" w:fill="D9D9D9"/>
            <w:noWrap/>
            <w:hideMark/>
          </w:tcPr>
          <w:p w14:paraId="060CAD2A"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Planning Region  </w:t>
            </w:r>
          </w:p>
        </w:tc>
        <w:tc>
          <w:tcPr>
            <w:tcW w:w="1720" w:type="dxa"/>
            <w:tcBorders>
              <w:top w:val="single" w:sz="8" w:space="0" w:color="auto"/>
              <w:left w:val="nil"/>
              <w:bottom w:val="nil"/>
              <w:right w:val="single" w:sz="4" w:space="0" w:color="auto"/>
            </w:tcBorders>
            <w:shd w:val="clear" w:color="000000" w:fill="D9D9D9"/>
            <w:hideMark/>
          </w:tcPr>
          <w:p w14:paraId="2F5BCC0C"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2060 Demand (AF)</w:t>
            </w:r>
          </w:p>
        </w:tc>
        <w:tc>
          <w:tcPr>
            <w:tcW w:w="1360" w:type="dxa"/>
            <w:tcBorders>
              <w:top w:val="single" w:sz="8" w:space="0" w:color="auto"/>
              <w:left w:val="nil"/>
              <w:bottom w:val="nil"/>
              <w:right w:val="single" w:sz="4" w:space="0" w:color="auto"/>
            </w:tcBorders>
            <w:shd w:val="clear" w:color="000000" w:fill="D9D9D9"/>
            <w:hideMark/>
          </w:tcPr>
          <w:p w14:paraId="6FAFAD24"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Current Supplies (AF)</w:t>
            </w:r>
          </w:p>
        </w:tc>
        <w:tc>
          <w:tcPr>
            <w:tcW w:w="1680" w:type="dxa"/>
            <w:tcBorders>
              <w:top w:val="single" w:sz="8" w:space="0" w:color="auto"/>
              <w:left w:val="nil"/>
              <w:bottom w:val="nil"/>
              <w:right w:val="single" w:sz="4" w:space="0" w:color="auto"/>
            </w:tcBorders>
            <w:shd w:val="clear" w:color="000000" w:fill="D9D9D9"/>
            <w:hideMark/>
          </w:tcPr>
          <w:p w14:paraId="4192348A"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Average-Year Surplus** (AF)</w:t>
            </w:r>
          </w:p>
        </w:tc>
        <w:tc>
          <w:tcPr>
            <w:tcW w:w="1120" w:type="dxa"/>
            <w:tcBorders>
              <w:top w:val="single" w:sz="8" w:space="0" w:color="auto"/>
              <w:left w:val="nil"/>
              <w:bottom w:val="nil"/>
              <w:right w:val="single" w:sz="4" w:space="0" w:color="auto"/>
            </w:tcBorders>
            <w:shd w:val="clear" w:color="000000" w:fill="D9D9D9"/>
            <w:hideMark/>
          </w:tcPr>
          <w:p w14:paraId="20F672B8"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(AF)</w:t>
            </w:r>
          </w:p>
        </w:tc>
        <w:tc>
          <w:tcPr>
            <w:tcW w:w="960" w:type="dxa"/>
            <w:tcBorders>
              <w:top w:val="single" w:sz="8" w:space="0" w:color="auto"/>
              <w:left w:val="nil"/>
              <w:bottom w:val="nil"/>
              <w:right w:val="single" w:sz="8" w:space="0" w:color="auto"/>
            </w:tcBorders>
            <w:shd w:val="clear" w:color="000000" w:fill="D9D9D9"/>
            <w:hideMark/>
          </w:tcPr>
          <w:p w14:paraId="299BB57E"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Need (%)</w:t>
            </w:r>
          </w:p>
        </w:tc>
      </w:tr>
      <w:tr w:rsidR="00EC371B" w:rsidRPr="00375C77" w14:paraId="4145C80C" w14:textId="77777777" w:rsidTr="00EC371B">
        <w:trPr>
          <w:trHeight w:val="315"/>
        </w:trPr>
        <w:tc>
          <w:tcPr>
            <w:tcW w:w="1620" w:type="dxa"/>
            <w:tcBorders>
              <w:top w:val="nil"/>
              <w:left w:val="single" w:sz="8" w:space="0" w:color="auto"/>
              <w:bottom w:val="single" w:sz="8" w:space="0" w:color="auto"/>
              <w:right w:val="nil"/>
            </w:tcBorders>
            <w:shd w:val="clear" w:color="auto" w:fill="auto"/>
            <w:noWrap/>
            <w:vAlign w:val="bottom"/>
            <w:hideMark/>
          </w:tcPr>
          <w:p w14:paraId="526711B6" w14:textId="77777777" w:rsidR="00EC371B" w:rsidRPr="00375C77" w:rsidRDefault="00EC371B" w:rsidP="00EC371B">
            <w:pPr>
              <w:spacing w:after="0" w:line="240" w:lineRule="auto"/>
              <w:rPr>
                <w:rFonts w:eastAsia="Times New Roman" w:cstheme="minorHAnsi"/>
                <w:b/>
                <w:bCs/>
                <w:color w:val="000000"/>
                <w:sz w:val="22"/>
              </w:rPr>
            </w:pPr>
            <w:r w:rsidRPr="00375C77">
              <w:rPr>
                <w:rFonts w:eastAsia="Times New Roman" w:cstheme="minorHAnsi"/>
                <w:b/>
                <w:bCs/>
                <w:color w:val="000000"/>
                <w:sz w:val="22"/>
              </w:rPr>
              <w:t xml:space="preserve">Region 5 </w:t>
            </w:r>
          </w:p>
        </w:tc>
        <w:tc>
          <w:tcPr>
            <w:tcW w:w="17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71F5B31" w14:textId="77777777" w:rsidR="00EC371B" w:rsidRPr="00375C77" w:rsidRDefault="00EC371B" w:rsidP="00EC371B">
            <w:pPr>
              <w:spacing w:after="0" w:line="240" w:lineRule="auto"/>
              <w:jc w:val="right"/>
              <w:rPr>
                <w:rFonts w:eastAsia="Times New Roman" w:cstheme="minorHAnsi"/>
                <w:color w:val="000000"/>
                <w:sz w:val="22"/>
              </w:rPr>
            </w:pPr>
            <w:r w:rsidRPr="00375C77">
              <w:rPr>
                <w:rFonts w:eastAsia="Times New Roman" w:cstheme="minorHAnsi"/>
                <w:color w:val="000000"/>
                <w:sz w:val="22"/>
              </w:rPr>
              <w:t>9,608</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14:paraId="68FA4C1A" w14:textId="77777777" w:rsidR="00EC371B" w:rsidRPr="00375C77" w:rsidRDefault="00EC371B" w:rsidP="00EC371B">
            <w:pPr>
              <w:spacing w:after="0" w:line="240" w:lineRule="auto"/>
              <w:jc w:val="right"/>
              <w:rPr>
                <w:rFonts w:eastAsia="Times New Roman" w:cstheme="minorHAnsi"/>
                <w:color w:val="000000"/>
                <w:sz w:val="22"/>
              </w:rPr>
            </w:pPr>
            <w:r w:rsidRPr="00375C77">
              <w:rPr>
                <w:rFonts w:eastAsia="Times New Roman" w:cstheme="minorHAnsi"/>
                <w:color w:val="000000"/>
                <w:sz w:val="22"/>
              </w:rPr>
              <w:t>4,849</w:t>
            </w:r>
          </w:p>
        </w:tc>
        <w:tc>
          <w:tcPr>
            <w:tcW w:w="1680" w:type="dxa"/>
            <w:tcBorders>
              <w:top w:val="single" w:sz="8" w:space="0" w:color="auto"/>
              <w:left w:val="nil"/>
              <w:bottom w:val="single" w:sz="8" w:space="0" w:color="auto"/>
              <w:right w:val="single" w:sz="4" w:space="0" w:color="auto"/>
            </w:tcBorders>
            <w:shd w:val="clear" w:color="auto" w:fill="auto"/>
            <w:vAlign w:val="bottom"/>
            <w:hideMark/>
          </w:tcPr>
          <w:p w14:paraId="65467176" w14:textId="77777777" w:rsidR="00EC371B" w:rsidRPr="00375C77" w:rsidRDefault="00EC371B" w:rsidP="00EC371B">
            <w:pPr>
              <w:spacing w:after="0" w:line="240" w:lineRule="auto"/>
              <w:jc w:val="right"/>
              <w:rPr>
                <w:rFonts w:eastAsia="Times New Roman" w:cstheme="minorHAnsi"/>
                <w:color w:val="000000"/>
                <w:sz w:val="22"/>
              </w:rPr>
            </w:pPr>
            <w:r w:rsidRPr="00375C77">
              <w:rPr>
                <w:rFonts w:eastAsia="Times New Roman" w:cstheme="minorHAnsi"/>
                <w:color w:val="000000"/>
                <w:sz w:val="22"/>
              </w:rPr>
              <w:t>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5A7BAAE9" w14:textId="77777777" w:rsidR="00EC371B" w:rsidRPr="00375C77" w:rsidRDefault="00EC371B" w:rsidP="00EC371B">
            <w:pPr>
              <w:spacing w:after="0" w:line="240" w:lineRule="auto"/>
              <w:jc w:val="right"/>
              <w:rPr>
                <w:rFonts w:eastAsia="Times New Roman" w:cstheme="minorHAnsi"/>
                <w:color w:val="000000"/>
                <w:sz w:val="22"/>
              </w:rPr>
            </w:pPr>
            <w:r w:rsidRPr="00375C77">
              <w:rPr>
                <w:rFonts w:eastAsia="Times New Roman" w:cstheme="minorHAnsi"/>
                <w:color w:val="000000"/>
                <w:sz w:val="22"/>
              </w:rPr>
              <w:t>4,759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5588DD3" w14:textId="77777777" w:rsidR="00EC371B" w:rsidRPr="00375C77" w:rsidRDefault="00EC371B" w:rsidP="00EC371B">
            <w:pPr>
              <w:spacing w:after="0" w:line="240" w:lineRule="auto"/>
              <w:jc w:val="right"/>
              <w:rPr>
                <w:rFonts w:eastAsia="Times New Roman" w:cstheme="minorHAnsi"/>
                <w:color w:val="000000"/>
                <w:sz w:val="22"/>
              </w:rPr>
            </w:pPr>
            <w:r w:rsidRPr="00375C77">
              <w:rPr>
                <w:rFonts w:eastAsia="Times New Roman" w:cstheme="minorHAnsi"/>
                <w:color w:val="000000"/>
                <w:sz w:val="22"/>
              </w:rPr>
              <w:t>50%</w:t>
            </w:r>
          </w:p>
        </w:tc>
      </w:tr>
      <w:tr w:rsidR="00EC371B" w:rsidRPr="00375C77" w14:paraId="15636FE5" w14:textId="77777777" w:rsidTr="00EC371B">
        <w:trPr>
          <w:trHeight w:val="300"/>
        </w:trPr>
        <w:tc>
          <w:tcPr>
            <w:tcW w:w="8460" w:type="dxa"/>
            <w:gridSpan w:val="6"/>
            <w:tcBorders>
              <w:top w:val="nil"/>
              <w:left w:val="nil"/>
              <w:bottom w:val="nil"/>
              <w:right w:val="nil"/>
            </w:tcBorders>
            <w:shd w:val="clear" w:color="auto" w:fill="auto"/>
            <w:noWrap/>
            <w:vAlign w:val="bottom"/>
            <w:hideMark/>
          </w:tcPr>
          <w:p w14:paraId="2D183985" w14:textId="77777777" w:rsidR="00EC371B" w:rsidRPr="00375C77" w:rsidRDefault="00EC371B" w:rsidP="00EC371B">
            <w:pPr>
              <w:spacing w:after="0" w:line="240" w:lineRule="auto"/>
              <w:rPr>
                <w:rFonts w:eastAsia="Times New Roman" w:cstheme="minorHAnsi"/>
                <w:i/>
                <w:iCs/>
                <w:color w:val="000000"/>
                <w:szCs w:val="20"/>
              </w:rPr>
            </w:pPr>
            <w:r w:rsidRPr="00375C77">
              <w:rPr>
                <w:rFonts w:eastAsia="Times New Roman" w:cstheme="minorHAnsi"/>
                <w:i/>
                <w:iCs/>
                <w:color w:val="000000"/>
                <w:szCs w:val="20"/>
              </w:rPr>
              <w:t>Table 5-5 – Build-out (2060) Demand and Current Supplies by El Paso County Planning Region</w:t>
            </w:r>
          </w:p>
        </w:tc>
      </w:tr>
    </w:tbl>
    <w:p w14:paraId="24851567" w14:textId="77777777" w:rsidR="00F53761" w:rsidRPr="00375C77" w:rsidRDefault="00F53761" w:rsidP="00F53761">
      <w:pPr>
        <w:spacing w:after="0" w:line="240" w:lineRule="auto"/>
        <w:ind w:left="720"/>
        <w:rPr>
          <w:rFonts w:eastAsia="Times New Roman" w:cstheme="minorHAnsi"/>
          <w:sz w:val="22"/>
        </w:rPr>
      </w:pPr>
    </w:p>
    <w:p w14:paraId="7732C92D" w14:textId="4E3D4D23" w:rsidR="00EC371B" w:rsidRPr="00375C77" w:rsidRDefault="00EC371B" w:rsidP="00194E3F">
      <w:pPr>
        <w:spacing w:after="0" w:line="240" w:lineRule="auto"/>
        <w:ind w:left="720"/>
        <w:rPr>
          <w:rFonts w:eastAsia="Times New Roman" w:cstheme="minorHAnsi"/>
          <w:sz w:val="22"/>
        </w:rPr>
      </w:pPr>
      <w:r w:rsidRPr="00375C77">
        <w:rPr>
          <w:rFonts w:eastAsia="Times New Roman" w:cstheme="minorHAnsi"/>
          <w:sz w:val="22"/>
        </w:rPr>
        <w:t>Water supplies in Region 5</w:t>
      </w:r>
      <w:r w:rsidR="00691828">
        <w:rPr>
          <w:rFonts w:eastAsia="Times New Roman" w:cstheme="minorHAnsi"/>
          <w:sz w:val="22"/>
        </w:rPr>
        <w:t>, and specifically from CMD,</w:t>
      </w:r>
      <w:r w:rsidRPr="00375C77">
        <w:rPr>
          <w:rFonts w:eastAsia="Times New Roman" w:cstheme="minorHAnsi"/>
          <w:sz w:val="22"/>
        </w:rPr>
        <w:t xml:space="preserve"> should be </w:t>
      </w:r>
      <w:proofErr w:type="gramStart"/>
      <w:r w:rsidRPr="00375C77">
        <w:rPr>
          <w:rFonts w:eastAsia="Times New Roman" w:cstheme="minorHAnsi"/>
          <w:sz w:val="22"/>
        </w:rPr>
        <w:t>sufficient</w:t>
      </w:r>
      <w:proofErr w:type="gramEnd"/>
      <w:r w:rsidRPr="00375C77">
        <w:rPr>
          <w:rFonts w:eastAsia="Times New Roman" w:cstheme="minorHAnsi"/>
          <w:sz w:val="22"/>
        </w:rPr>
        <w:t xml:space="preserve"> to meet the current development demand; however, additional resources </w:t>
      </w:r>
      <w:r w:rsidR="00BA1166" w:rsidRPr="00375C77">
        <w:rPr>
          <w:rFonts w:eastAsia="Times New Roman" w:cstheme="minorHAnsi"/>
          <w:sz w:val="22"/>
        </w:rPr>
        <w:t xml:space="preserve">will be required to meet the full projected development demand within the Region by the 2060 target build out date. The District has been planning to reduce demand through its </w:t>
      </w:r>
      <w:r w:rsidR="00BA1166" w:rsidRPr="00375C77">
        <w:rPr>
          <w:rFonts w:eastAsia="Times New Roman" w:cstheme="minorHAnsi"/>
          <w:sz w:val="22"/>
        </w:rPr>
        <w:lastRenderedPageBreak/>
        <w:t xml:space="preserve">conservation and reuse programs. Additional water resources are planned through CMD interconnections and regional collaboration with partner and/or neighboring water providers. through acquisition and reallocation of other resources </w:t>
      </w:r>
    </w:p>
    <w:p w14:paraId="6A81D10B" w14:textId="77777777" w:rsidR="00BA1166" w:rsidRPr="00375C77" w:rsidRDefault="00BA1166" w:rsidP="00194778">
      <w:pPr>
        <w:pStyle w:val="ListParagraph"/>
        <w:spacing w:after="0" w:line="240" w:lineRule="auto"/>
        <w:rPr>
          <w:rFonts w:eastAsia="Times New Roman" w:cstheme="minorHAnsi"/>
          <w:sz w:val="22"/>
        </w:rPr>
      </w:pPr>
    </w:p>
    <w:p w14:paraId="45E44CBC" w14:textId="10226F66" w:rsidR="00CC7744" w:rsidRDefault="00691828" w:rsidP="00194778">
      <w:pPr>
        <w:pStyle w:val="ListParagraph"/>
        <w:spacing w:after="0" w:line="240" w:lineRule="auto"/>
        <w:rPr>
          <w:rFonts w:eastAsia="Times New Roman" w:cstheme="minorHAnsi"/>
          <w:sz w:val="22"/>
        </w:rPr>
      </w:pPr>
      <w:r>
        <w:rPr>
          <w:rFonts w:eastAsia="Times New Roman" w:cstheme="minorHAnsi"/>
          <w:sz w:val="22"/>
        </w:rPr>
        <w:t>W</w:t>
      </w:r>
      <w:r w:rsidRPr="00375C77">
        <w:rPr>
          <w:rFonts w:eastAsia="Times New Roman" w:cstheme="minorHAnsi"/>
          <w:sz w:val="22"/>
        </w:rPr>
        <w:t xml:space="preserve">ater </w:t>
      </w:r>
      <w:r w:rsidR="00194778" w:rsidRPr="00375C77">
        <w:rPr>
          <w:rFonts w:eastAsia="Times New Roman" w:cstheme="minorHAnsi"/>
          <w:sz w:val="22"/>
        </w:rPr>
        <w:t xml:space="preserve">resources for </w:t>
      </w:r>
      <w:r>
        <w:rPr>
          <w:rFonts w:eastAsia="Times New Roman" w:cstheme="minorHAnsi"/>
          <w:sz w:val="22"/>
        </w:rPr>
        <w:t>CMD</w:t>
      </w:r>
      <w:r w:rsidR="00194778" w:rsidRPr="00375C77">
        <w:rPr>
          <w:rFonts w:eastAsia="Times New Roman" w:cstheme="minorHAnsi"/>
          <w:sz w:val="22"/>
        </w:rPr>
        <w:t xml:space="preserve"> are </w:t>
      </w:r>
      <w:r>
        <w:rPr>
          <w:rFonts w:eastAsia="Times New Roman" w:cstheme="minorHAnsi"/>
          <w:sz w:val="22"/>
        </w:rPr>
        <w:t>drawn from groundwater in two regions. The majority is</w:t>
      </w:r>
      <w:r w:rsidRPr="00375C77">
        <w:rPr>
          <w:rFonts w:eastAsia="Times New Roman" w:cstheme="minorHAnsi"/>
          <w:sz w:val="22"/>
        </w:rPr>
        <w:t xml:space="preserve"> </w:t>
      </w:r>
      <w:r w:rsidR="00194778" w:rsidRPr="00375C77">
        <w:rPr>
          <w:rFonts w:eastAsia="Times New Roman" w:cstheme="minorHAnsi"/>
          <w:sz w:val="22"/>
        </w:rPr>
        <w:t xml:space="preserve">from alluvial groundwater supplies in the Upper Black Squirrel </w:t>
      </w:r>
      <w:r>
        <w:rPr>
          <w:rFonts w:eastAsia="Times New Roman" w:cstheme="minorHAnsi"/>
          <w:sz w:val="22"/>
        </w:rPr>
        <w:t xml:space="preserve">Aquifer in eastern El Paso County via a network of </w:t>
      </w:r>
      <w:r w:rsidR="00BB7E6A">
        <w:rPr>
          <w:rFonts w:eastAsia="Times New Roman" w:cstheme="minorHAnsi"/>
          <w:sz w:val="22"/>
        </w:rPr>
        <w:t>twenty</w:t>
      </w:r>
      <w:r>
        <w:rPr>
          <w:rFonts w:eastAsia="Times New Roman" w:cstheme="minorHAnsi"/>
          <w:sz w:val="22"/>
        </w:rPr>
        <w:t xml:space="preserve"> wells</w:t>
      </w:r>
      <w:r w:rsidR="00BB7E6A">
        <w:rPr>
          <w:rFonts w:eastAsia="Times New Roman" w:cstheme="minorHAnsi"/>
          <w:sz w:val="22"/>
        </w:rPr>
        <w:t xml:space="preserve"> (Well Nos 1-20)</w:t>
      </w:r>
      <w:r>
        <w:rPr>
          <w:rFonts w:eastAsia="Times New Roman" w:cstheme="minorHAnsi"/>
          <w:sz w:val="22"/>
        </w:rPr>
        <w:t xml:space="preserve">. </w:t>
      </w:r>
      <w:r w:rsidR="00BB7E6A" w:rsidRPr="00BB7E6A">
        <w:rPr>
          <w:rFonts w:eastAsia="Times New Roman" w:cstheme="minorHAnsi"/>
          <w:sz w:val="22"/>
        </w:rPr>
        <w:t xml:space="preserve">According to the District, water from Well Nos. 1-8 provide a maximum of 653 AFY to a fixed customer base. This water is unavailable to other users and is tracked separately from CMD’s general exportable supply portfolio.  Water supplies from the remaining wells (Well Nos 9-20) in the amount of 3,985 AFY is available for export outside the Basin.   </w:t>
      </w:r>
      <w:r>
        <w:rPr>
          <w:rFonts w:eastAsia="Times New Roman" w:cstheme="minorHAnsi"/>
          <w:sz w:val="22"/>
        </w:rPr>
        <w:t>Remaining water supplies are sourced from two wells in de</w:t>
      </w:r>
      <w:r w:rsidR="00C75CD9">
        <w:rPr>
          <w:rFonts w:eastAsia="Times New Roman" w:cstheme="minorHAnsi"/>
          <w:sz w:val="22"/>
        </w:rPr>
        <w:t>e</w:t>
      </w:r>
      <w:r>
        <w:rPr>
          <w:rFonts w:eastAsia="Times New Roman" w:cstheme="minorHAnsi"/>
          <w:sz w:val="22"/>
        </w:rPr>
        <w:t>p bed</w:t>
      </w:r>
      <w:r w:rsidR="00C75CD9">
        <w:rPr>
          <w:rFonts w:eastAsia="Times New Roman" w:cstheme="minorHAnsi"/>
          <w:sz w:val="22"/>
        </w:rPr>
        <w:t xml:space="preserve">rock </w:t>
      </w:r>
      <w:r w:rsidR="00BB7E6A">
        <w:rPr>
          <w:rFonts w:eastAsia="Times New Roman" w:cstheme="minorHAnsi"/>
          <w:sz w:val="22"/>
        </w:rPr>
        <w:t>aquifers</w:t>
      </w:r>
      <w:r w:rsidR="00C75CD9">
        <w:rPr>
          <w:rFonts w:eastAsia="Times New Roman" w:cstheme="minorHAnsi"/>
          <w:sz w:val="22"/>
        </w:rPr>
        <w:t xml:space="preserve"> from the Sundance Ranch property in the northern part of the County</w:t>
      </w:r>
      <w:r w:rsidR="00194778" w:rsidRPr="00375C77">
        <w:rPr>
          <w:rFonts w:eastAsia="Times New Roman" w:cstheme="minorHAnsi"/>
          <w:sz w:val="22"/>
        </w:rPr>
        <w:t xml:space="preserve">. </w:t>
      </w:r>
    </w:p>
    <w:p w14:paraId="2D7E69D0" w14:textId="77777777" w:rsidR="00CC7744" w:rsidRDefault="00CC7744" w:rsidP="00194778">
      <w:pPr>
        <w:pStyle w:val="ListParagraph"/>
        <w:spacing w:after="0" w:line="240" w:lineRule="auto"/>
        <w:rPr>
          <w:rFonts w:eastAsia="Times New Roman" w:cstheme="minorHAnsi"/>
          <w:sz w:val="22"/>
        </w:rPr>
      </w:pPr>
    </w:p>
    <w:p w14:paraId="26544068" w14:textId="5F40F4A8" w:rsidR="00CC7744" w:rsidRDefault="00CC7744" w:rsidP="00194778">
      <w:pPr>
        <w:pStyle w:val="ListParagraph"/>
        <w:spacing w:after="0" w:line="240" w:lineRule="auto"/>
        <w:rPr>
          <w:rFonts w:eastAsia="Times New Roman" w:cstheme="minorHAnsi"/>
          <w:sz w:val="22"/>
        </w:rPr>
      </w:pPr>
      <w:r>
        <w:rPr>
          <w:noProof/>
        </w:rPr>
        <w:drawing>
          <wp:inline distT="0" distB="0" distL="0" distR="0" wp14:anchorId="59F6CB76" wp14:editId="7DDC6B35">
            <wp:extent cx="5715000" cy="383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3836670"/>
                    </a:xfrm>
                    <a:prstGeom prst="rect">
                      <a:avLst/>
                    </a:prstGeom>
                  </pic:spPr>
                </pic:pic>
              </a:graphicData>
            </a:graphic>
          </wp:inline>
        </w:drawing>
      </w:r>
    </w:p>
    <w:p w14:paraId="34F51F7E" w14:textId="77777777" w:rsidR="00CC7744" w:rsidRDefault="00CC7744" w:rsidP="00194778">
      <w:pPr>
        <w:pStyle w:val="ListParagraph"/>
        <w:spacing w:after="0" w:line="240" w:lineRule="auto"/>
        <w:rPr>
          <w:rFonts w:eastAsia="Times New Roman" w:cstheme="minorHAnsi"/>
          <w:sz w:val="22"/>
        </w:rPr>
      </w:pPr>
    </w:p>
    <w:p w14:paraId="2A5D670C" w14:textId="77777777" w:rsidR="00CC7744" w:rsidRDefault="00CC7744" w:rsidP="00194778">
      <w:pPr>
        <w:pStyle w:val="ListParagraph"/>
        <w:spacing w:after="0" w:line="240" w:lineRule="auto"/>
        <w:rPr>
          <w:rFonts w:eastAsia="Times New Roman" w:cstheme="minorHAnsi"/>
          <w:sz w:val="22"/>
        </w:rPr>
      </w:pPr>
    </w:p>
    <w:p w14:paraId="2D6023B8" w14:textId="68720A00" w:rsidR="00CC7744" w:rsidRDefault="00CC7744" w:rsidP="00CC7744">
      <w:pPr>
        <w:pStyle w:val="ListParagraph"/>
        <w:spacing w:after="0" w:line="240" w:lineRule="auto"/>
        <w:rPr>
          <w:rFonts w:eastAsia="Times New Roman" w:cstheme="minorHAnsi"/>
          <w:sz w:val="22"/>
        </w:rPr>
      </w:pPr>
      <w:r w:rsidRPr="00CC7744">
        <w:rPr>
          <w:rFonts w:eastAsia="Times New Roman" w:cstheme="minorHAnsi"/>
          <w:sz w:val="22"/>
        </w:rPr>
        <w:t xml:space="preserve">CMD is developing owned water supplies to increase available water and improve flexibility in provision of summer flows. By the end of 2021, these new wells will contribute 458 AFY of capacity to the CMD system (Table 2) for a total of 4,443.0 AFY. Since 2011, actual demand from CMD customers has fallen 30-35% below </w:t>
      </w:r>
      <w:r w:rsidRPr="00CC7744">
        <w:rPr>
          <w:rFonts w:eastAsia="Times New Roman" w:cstheme="minorHAnsi"/>
          <w:sz w:val="22"/>
        </w:rPr>
        <w:lastRenderedPageBreak/>
        <w:t>commitments, partially due to some committed developments being incomplete but largely due to water saving measures undertaken by CMD customers.</w:t>
      </w:r>
    </w:p>
    <w:p w14:paraId="2CD828C9" w14:textId="77777777" w:rsidR="00CC7744" w:rsidRDefault="00CC7744" w:rsidP="00194778">
      <w:pPr>
        <w:pStyle w:val="ListParagraph"/>
        <w:spacing w:after="0" w:line="240" w:lineRule="auto"/>
        <w:rPr>
          <w:rFonts w:eastAsia="Times New Roman" w:cstheme="minorHAnsi"/>
          <w:sz w:val="22"/>
        </w:rPr>
      </w:pPr>
    </w:p>
    <w:p w14:paraId="1F78EC4C" w14:textId="2936238B" w:rsidR="00CC7744" w:rsidRDefault="002F6E92" w:rsidP="00194778">
      <w:pPr>
        <w:pStyle w:val="ListParagraph"/>
        <w:spacing w:after="0" w:line="240" w:lineRule="auto"/>
        <w:rPr>
          <w:rFonts w:eastAsia="Times New Roman" w:cstheme="minorHAnsi"/>
          <w:sz w:val="22"/>
        </w:rPr>
      </w:pPr>
      <w:r w:rsidRPr="002F6E92">
        <w:rPr>
          <w:rFonts w:eastAsia="Times New Roman" w:cstheme="minorHAnsi"/>
          <w:b/>
          <w:bCs/>
          <w:sz w:val="22"/>
        </w:rPr>
        <w:t>Table 2:</w:t>
      </w:r>
      <w:r w:rsidRPr="002F6E92">
        <w:rPr>
          <w:rFonts w:eastAsia="Times New Roman" w:cstheme="minorHAnsi"/>
          <w:sz w:val="22"/>
        </w:rPr>
        <w:t xml:space="preserve"> New water supplies slated for completion in 2021</w:t>
      </w:r>
    </w:p>
    <w:tbl>
      <w:tblPr>
        <w:tblW w:w="9180" w:type="dxa"/>
        <w:tblLook w:val="04A0" w:firstRow="1" w:lastRow="0" w:firstColumn="1" w:lastColumn="0" w:noHBand="0" w:noVBand="1"/>
      </w:tblPr>
      <w:tblGrid>
        <w:gridCol w:w="1980"/>
        <w:gridCol w:w="1560"/>
        <w:gridCol w:w="1360"/>
        <w:gridCol w:w="1880"/>
        <w:gridCol w:w="2400"/>
      </w:tblGrid>
      <w:tr w:rsidR="00CC7744" w:rsidRPr="00CC7744" w14:paraId="6F67E9B9" w14:textId="77777777" w:rsidTr="00CC7744">
        <w:trPr>
          <w:trHeight w:val="585"/>
        </w:trPr>
        <w:tc>
          <w:tcPr>
            <w:tcW w:w="1980" w:type="dxa"/>
            <w:tcBorders>
              <w:top w:val="single" w:sz="4" w:space="0" w:color="000000"/>
              <w:left w:val="single" w:sz="4" w:space="0" w:color="000000"/>
              <w:bottom w:val="single" w:sz="4" w:space="0" w:color="000000"/>
              <w:right w:val="single" w:sz="4" w:space="0" w:color="000000"/>
            </w:tcBorders>
            <w:shd w:val="clear" w:color="000000" w:fill="BEBEBE"/>
            <w:hideMark/>
          </w:tcPr>
          <w:p w14:paraId="07CA797C"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Well Number</w:t>
            </w:r>
          </w:p>
        </w:tc>
        <w:tc>
          <w:tcPr>
            <w:tcW w:w="1560" w:type="dxa"/>
            <w:tcBorders>
              <w:top w:val="single" w:sz="4" w:space="0" w:color="000000"/>
              <w:left w:val="nil"/>
              <w:bottom w:val="single" w:sz="4" w:space="0" w:color="000000"/>
              <w:right w:val="single" w:sz="4" w:space="0" w:color="000000"/>
            </w:tcBorders>
            <w:shd w:val="clear" w:color="000000" w:fill="BEBEBE"/>
            <w:hideMark/>
          </w:tcPr>
          <w:p w14:paraId="7DA340BE"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Water Right (AFY)</w:t>
            </w:r>
          </w:p>
        </w:tc>
        <w:tc>
          <w:tcPr>
            <w:tcW w:w="1360" w:type="dxa"/>
            <w:tcBorders>
              <w:top w:val="single" w:sz="4" w:space="0" w:color="000000"/>
              <w:left w:val="nil"/>
              <w:bottom w:val="single" w:sz="4" w:space="0" w:color="000000"/>
              <w:right w:val="single" w:sz="4" w:space="0" w:color="000000"/>
            </w:tcBorders>
            <w:shd w:val="clear" w:color="000000" w:fill="BEBEBE"/>
            <w:hideMark/>
          </w:tcPr>
          <w:p w14:paraId="7AF7A9CA"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Permit Number</w:t>
            </w:r>
          </w:p>
        </w:tc>
        <w:tc>
          <w:tcPr>
            <w:tcW w:w="1880" w:type="dxa"/>
            <w:tcBorders>
              <w:top w:val="single" w:sz="4" w:space="0" w:color="000000"/>
              <w:left w:val="nil"/>
              <w:bottom w:val="single" w:sz="4" w:space="0" w:color="000000"/>
              <w:right w:val="single" w:sz="4" w:space="0" w:color="000000"/>
            </w:tcBorders>
            <w:shd w:val="clear" w:color="000000" w:fill="BEBEBE"/>
            <w:hideMark/>
          </w:tcPr>
          <w:p w14:paraId="0A399276"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Aquifer</w:t>
            </w:r>
          </w:p>
        </w:tc>
        <w:tc>
          <w:tcPr>
            <w:tcW w:w="2400" w:type="dxa"/>
            <w:tcBorders>
              <w:top w:val="single" w:sz="4" w:space="0" w:color="000000"/>
              <w:left w:val="nil"/>
              <w:bottom w:val="single" w:sz="4" w:space="0" w:color="000000"/>
              <w:right w:val="single" w:sz="4" w:space="0" w:color="000000"/>
            </w:tcBorders>
            <w:shd w:val="clear" w:color="000000" w:fill="BEBEBE"/>
            <w:hideMark/>
          </w:tcPr>
          <w:p w14:paraId="5DB477E1"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Aquifer Status</w:t>
            </w:r>
          </w:p>
        </w:tc>
      </w:tr>
      <w:tr w:rsidR="00CC7744" w:rsidRPr="00CC7744" w14:paraId="4873945E" w14:textId="77777777" w:rsidTr="00CC7744">
        <w:trPr>
          <w:trHeight w:val="345"/>
        </w:trPr>
        <w:tc>
          <w:tcPr>
            <w:tcW w:w="1980" w:type="dxa"/>
            <w:tcBorders>
              <w:top w:val="nil"/>
              <w:left w:val="single" w:sz="4" w:space="0" w:color="000000"/>
              <w:bottom w:val="single" w:sz="4" w:space="0" w:color="000000"/>
              <w:right w:val="single" w:sz="4" w:space="0" w:color="000000"/>
            </w:tcBorders>
            <w:shd w:val="clear" w:color="auto" w:fill="auto"/>
            <w:hideMark/>
          </w:tcPr>
          <w:p w14:paraId="007E4922"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Albrecht Well</w:t>
            </w:r>
          </w:p>
        </w:tc>
        <w:tc>
          <w:tcPr>
            <w:tcW w:w="1560" w:type="dxa"/>
            <w:tcBorders>
              <w:top w:val="nil"/>
              <w:left w:val="nil"/>
              <w:bottom w:val="single" w:sz="4" w:space="0" w:color="000000"/>
              <w:right w:val="single" w:sz="4" w:space="0" w:color="000000"/>
            </w:tcBorders>
            <w:shd w:val="clear" w:color="auto" w:fill="auto"/>
            <w:noWrap/>
            <w:hideMark/>
          </w:tcPr>
          <w:p w14:paraId="07C858A0" w14:textId="77777777" w:rsidR="00CC7744" w:rsidRPr="00CC7744" w:rsidRDefault="00CC7744" w:rsidP="00CC7744">
            <w:pPr>
              <w:spacing w:after="0" w:line="240" w:lineRule="auto"/>
              <w:rPr>
                <w:rFonts w:ascii="Times New Roman" w:eastAsia="Times New Roman" w:hAnsi="Times New Roman" w:cs="Times New Roman"/>
                <w:color w:val="000000"/>
                <w:sz w:val="24"/>
                <w:szCs w:val="24"/>
              </w:rPr>
            </w:pPr>
            <w:r w:rsidRPr="00CC7744">
              <w:rPr>
                <w:rFonts w:ascii="Times New Roman" w:eastAsia="Times New Roman" w:hAnsi="Times New Roman" w:cs="Times New Roman"/>
                <w:color w:val="000000"/>
                <w:sz w:val="24"/>
                <w:szCs w:val="24"/>
              </w:rPr>
              <w:t>153.5</w:t>
            </w:r>
          </w:p>
        </w:tc>
        <w:tc>
          <w:tcPr>
            <w:tcW w:w="1360" w:type="dxa"/>
            <w:tcBorders>
              <w:top w:val="nil"/>
              <w:left w:val="nil"/>
              <w:bottom w:val="single" w:sz="4" w:space="0" w:color="000000"/>
              <w:right w:val="single" w:sz="4" w:space="0" w:color="000000"/>
            </w:tcBorders>
            <w:shd w:val="clear" w:color="auto" w:fill="auto"/>
            <w:hideMark/>
          </w:tcPr>
          <w:p w14:paraId="2BFC993E"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27571-FP</w:t>
            </w:r>
          </w:p>
        </w:tc>
        <w:tc>
          <w:tcPr>
            <w:tcW w:w="1880" w:type="dxa"/>
            <w:tcBorders>
              <w:top w:val="nil"/>
              <w:left w:val="nil"/>
              <w:bottom w:val="single" w:sz="4" w:space="0" w:color="000000"/>
              <w:right w:val="single" w:sz="4" w:space="0" w:color="000000"/>
            </w:tcBorders>
            <w:shd w:val="clear" w:color="auto" w:fill="auto"/>
            <w:hideMark/>
          </w:tcPr>
          <w:p w14:paraId="148F9776"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UBS Alluvium</w:t>
            </w:r>
          </w:p>
        </w:tc>
        <w:tc>
          <w:tcPr>
            <w:tcW w:w="2400" w:type="dxa"/>
            <w:tcBorders>
              <w:top w:val="nil"/>
              <w:left w:val="nil"/>
              <w:bottom w:val="single" w:sz="4" w:space="0" w:color="000000"/>
              <w:right w:val="single" w:sz="4" w:space="0" w:color="000000"/>
            </w:tcBorders>
            <w:shd w:val="clear" w:color="auto" w:fill="auto"/>
            <w:hideMark/>
          </w:tcPr>
          <w:p w14:paraId="63B240FA"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Tributary</w:t>
            </w:r>
          </w:p>
        </w:tc>
      </w:tr>
      <w:tr w:rsidR="00CC7744" w:rsidRPr="00CC7744" w14:paraId="6928C1D9" w14:textId="77777777" w:rsidTr="00CC7744">
        <w:trPr>
          <w:trHeight w:val="345"/>
        </w:trPr>
        <w:tc>
          <w:tcPr>
            <w:tcW w:w="1980" w:type="dxa"/>
            <w:tcBorders>
              <w:top w:val="nil"/>
              <w:left w:val="single" w:sz="4" w:space="0" w:color="000000"/>
              <w:bottom w:val="single" w:sz="4" w:space="0" w:color="000000"/>
              <w:right w:val="single" w:sz="4" w:space="0" w:color="000000"/>
            </w:tcBorders>
            <w:shd w:val="clear" w:color="auto" w:fill="auto"/>
            <w:hideMark/>
          </w:tcPr>
          <w:p w14:paraId="150FBEB5"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DA-1</w:t>
            </w:r>
          </w:p>
        </w:tc>
        <w:tc>
          <w:tcPr>
            <w:tcW w:w="1560" w:type="dxa"/>
            <w:tcBorders>
              <w:top w:val="nil"/>
              <w:left w:val="nil"/>
              <w:bottom w:val="single" w:sz="4" w:space="0" w:color="000000"/>
              <w:right w:val="single" w:sz="4" w:space="0" w:color="000000"/>
            </w:tcBorders>
            <w:shd w:val="clear" w:color="auto" w:fill="auto"/>
            <w:noWrap/>
            <w:hideMark/>
          </w:tcPr>
          <w:p w14:paraId="1813D017" w14:textId="77777777" w:rsidR="00CC7744" w:rsidRPr="00CC7744" w:rsidRDefault="00CC7744" w:rsidP="00CC7744">
            <w:pPr>
              <w:spacing w:after="0" w:line="240" w:lineRule="auto"/>
              <w:rPr>
                <w:rFonts w:ascii="Times New Roman" w:eastAsia="Times New Roman" w:hAnsi="Times New Roman" w:cs="Times New Roman"/>
                <w:color w:val="000000"/>
                <w:sz w:val="24"/>
                <w:szCs w:val="24"/>
              </w:rPr>
            </w:pPr>
            <w:r w:rsidRPr="00CC7744">
              <w:rPr>
                <w:rFonts w:ascii="Times New Roman" w:eastAsia="Times New Roman" w:hAnsi="Times New Roman" w:cs="Times New Roman"/>
                <w:color w:val="000000"/>
                <w:sz w:val="24"/>
                <w:szCs w:val="24"/>
              </w:rPr>
              <w:t>40.3</w:t>
            </w:r>
          </w:p>
        </w:tc>
        <w:tc>
          <w:tcPr>
            <w:tcW w:w="1360" w:type="dxa"/>
            <w:tcBorders>
              <w:top w:val="nil"/>
              <w:left w:val="nil"/>
              <w:bottom w:val="single" w:sz="4" w:space="0" w:color="000000"/>
              <w:right w:val="single" w:sz="4" w:space="0" w:color="000000"/>
            </w:tcBorders>
            <w:shd w:val="clear" w:color="auto" w:fill="auto"/>
            <w:hideMark/>
          </w:tcPr>
          <w:p w14:paraId="4B22CDE2"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83604-F</w:t>
            </w:r>
          </w:p>
        </w:tc>
        <w:tc>
          <w:tcPr>
            <w:tcW w:w="1880" w:type="dxa"/>
            <w:tcBorders>
              <w:top w:val="nil"/>
              <w:left w:val="nil"/>
              <w:bottom w:val="single" w:sz="4" w:space="0" w:color="000000"/>
              <w:right w:val="single" w:sz="4" w:space="0" w:color="000000"/>
            </w:tcBorders>
            <w:shd w:val="clear" w:color="auto" w:fill="auto"/>
            <w:hideMark/>
          </w:tcPr>
          <w:p w14:paraId="1141348A"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Dawson</w:t>
            </w:r>
          </w:p>
        </w:tc>
        <w:tc>
          <w:tcPr>
            <w:tcW w:w="2400" w:type="dxa"/>
            <w:tcBorders>
              <w:top w:val="nil"/>
              <w:left w:val="nil"/>
              <w:bottom w:val="single" w:sz="4" w:space="0" w:color="000000"/>
              <w:right w:val="single" w:sz="4" w:space="0" w:color="000000"/>
            </w:tcBorders>
            <w:shd w:val="clear" w:color="auto" w:fill="auto"/>
            <w:hideMark/>
          </w:tcPr>
          <w:p w14:paraId="0D895905"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Not Non-Tributary</w:t>
            </w:r>
          </w:p>
        </w:tc>
      </w:tr>
      <w:tr w:rsidR="00CC7744" w:rsidRPr="00CC7744" w14:paraId="0D89FA4A" w14:textId="77777777" w:rsidTr="00CC7744">
        <w:trPr>
          <w:trHeight w:val="345"/>
        </w:trPr>
        <w:tc>
          <w:tcPr>
            <w:tcW w:w="1980" w:type="dxa"/>
            <w:tcBorders>
              <w:top w:val="nil"/>
              <w:left w:val="single" w:sz="4" w:space="0" w:color="000000"/>
              <w:bottom w:val="single" w:sz="4" w:space="0" w:color="000000"/>
              <w:right w:val="single" w:sz="4" w:space="0" w:color="000000"/>
            </w:tcBorders>
            <w:shd w:val="clear" w:color="auto" w:fill="auto"/>
            <w:hideMark/>
          </w:tcPr>
          <w:p w14:paraId="5BA1820A"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DA-4</w:t>
            </w:r>
          </w:p>
        </w:tc>
        <w:tc>
          <w:tcPr>
            <w:tcW w:w="1560" w:type="dxa"/>
            <w:tcBorders>
              <w:top w:val="nil"/>
              <w:left w:val="nil"/>
              <w:bottom w:val="single" w:sz="4" w:space="0" w:color="000000"/>
              <w:right w:val="single" w:sz="4" w:space="0" w:color="000000"/>
            </w:tcBorders>
            <w:shd w:val="clear" w:color="auto" w:fill="auto"/>
            <w:noWrap/>
            <w:hideMark/>
          </w:tcPr>
          <w:p w14:paraId="5E069C29" w14:textId="77777777" w:rsidR="00CC7744" w:rsidRPr="00CC7744" w:rsidRDefault="00CC7744" w:rsidP="00CC7744">
            <w:pPr>
              <w:spacing w:after="0" w:line="240" w:lineRule="auto"/>
              <w:rPr>
                <w:rFonts w:ascii="Times New Roman" w:eastAsia="Times New Roman" w:hAnsi="Times New Roman" w:cs="Times New Roman"/>
                <w:color w:val="000000"/>
                <w:sz w:val="24"/>
                <w:szCs w:val="24"/>
              </w:rPr>
            </w:pPr>
            <w:r w:rsidRPr="00CC7744">
              <w:rPr>
                <w:rFonts w:ascii="Times New Roman" w:eastAsia="Times New Roman" w:hAnsi="Times New Roman" w:cs="Times New Roman"/>
                <w:color w:val="000000"/>
                <w:sz w:val="24"/>
                <w:szCs w:val="24"/>
              </w:rPr>
              <w:t>64.5</w:t>
            </w:r>
          </w:p>
        </w:tc>
        <w:tc>
          <w:tcPr>
            <w:tcW w:w="1360" w:type="dxa"/>
            <w:tcBorders>
              <w:top w:val="nil"/>
              <w:left w:val="nil"/>
              <w:bottom w:val="single" w:sz="4" w:space="0" w:color="000000"/>
              <w:right w:val="single" w:sz="4" w:space="0" w:color="000000"/>
            </w:tcBorders>
            <w:shd w:val="clear" w:color="auto" w:fill="auto"/>
            <w:hideMark/>
          </w:tcPr>
          <w:p w14:paraId="3EA1CBA1"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83603-F</w:t>
            </w:r>
          </w:p>
        </w:tc>
        <w:tc>
          <w:tcPr>
            <w:tcW w:w="1880" w:type="dxa"/>
            <w:tcBorders>
              <w:top w:val="nil"/>
              <w:left w:val="nil"/>
              <w:bottom w:val="single" w:sz="4" w:space="0" w:color="000000"/>
              <w:right w:val="single" w:sz="4" w:space="0" w:color="000000"/>
            </w:tcBorders>
            <w:shd w:val="clear" w:color="auto" w:fill="auto"/>
            <w:hideMark/>
          </w:tcPr>
          <w:p w14:paraId="600DA731"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Dawson</w:t>
            </w:r>
          </w:p>
        </w:tc>
        <w:tc>
          <w:tcPr>
            <w:tcW w:w="2400" w:type="dxa"/>
            <w:tcBorders>
              <w:top w:val="nil"/>
              <w:left w:val="nil"/>
              <w:bottom w:val="single" w:sz="4" w:space="0" w:color="000000"/>
              <w:right w:val="single" w:sz="4" w:space="0" w:color="000000"/>
            </w:tcBorders>
            <w:shd w:val="clear" w:color="auto" w:fill="auto"/>
            <w:hideMark/>
          </w:tcPr>
          <w:p w14:paraId="06D3FC7D"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Not Non-Tributary</w:t>
            </w:r>
          </w:p>
        </w:tc>
      </w:tr>
      <w:tr w:rsidR="00CC7744" w:rsidRPr="00CC7744" w14:paraId="19356D09" w14:textId="77777777" w:rsidTr="00CC7744">
        <w:trPr>
          <w:trHeight w:val="345"/>
        </w:trPr>
        <w:tc>
          <w:tcPr>
            <w:tcW w:w="1980" w:type="dxa"/>
            <w:tcBorders>
              <w:top w:val="nil"/>
              <w:left w:val="single" w:sz="4" w:space="0" w:color="000000"/>
              <w:bottom w:val="single" w:sz="4" w:space="0" w:color="000000"/>
              <w:right w:val="single" w:sz="4" w:space="0" w:color="000000"/>
            </w:tcBorders>
            <w:shd w:val="clear" w:color="auto" w:fill="auto"/>
            <w:hideMark/>
          </w:tcPr>
          <w:p w14:paraId="0153A92D"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AR-1 Expansion</w:t>
            </w:r>
          </w:p>
        </w:tc>
        <w:tc>
          <w:tcPr>
            <w:tcW w:w="1560" w:type="dxa"/>
            <w:tcBorders>
              <w:top w:val="nil"/>
              <w:left w:val="nil"/>
              <w:bottom w:val="single" w:sz="4" w:space="0" w:color="000000"/>
              <w:right w:val="single" w:sz="4" w:space="0" w:color="000000"/>
            </w:tcBorders>
            <w:shd w:val="clear" w:color="auto" w:fill="auto"/>
            <w:noWrap/>
            <w:hideMark/>
          </w:tcPr>
          <w:p w14:paraId="018DD0FC" w14:textId="77777777" w:rsidR="00CC7744" w:rsidRPr="00CC7744" w:rsidRDefault="00CC7744" w:rsidP="00CC7744">
            <w:pPr>
              <w:spacing w:after="0" w:line="240" w:lineRule="auto"/>
              <w:rPr>
                <w:rFonts w:ascii="Times New Roman" w:eastAsia="Times New Roman" w:hAnsi="Times New Roman" w:cs="Times New Roman"/>
                <w:color w:val="000000"/>
                <w:sz w:val="24"/>
                <w:szCs w:val="24"/>
              </w:rPr>
            </w:pPr>
            <w:r w:rsidRPr="00CC7744">
              <w:rPr>
                <w:rFonts w:ascii="Times New Roman" w:eastAsia="Times New Roman" w:hAnsi="Times New Roman" w:cs="Times New Roman"/>
                <w:color w:val="000000"/>
                <w:sz w:val="24"/>
                <w:szCs w:val="24"/>
              </w:rPr>
              <w:t>200</w:t>
            </w:r>
          </w:p>
        </w:tc>
        <w:tc>
          <w:tcPr>
            <w:tcW w:w="1360" w:type="dxa"/>
            <w:tcBorders>
              <w:top w:val="nil"/>
              <w:left w:val="nil"/>
              <w:bottom w:val="single" w:sz="4" w:space="0" w:color="000000"/>
              <w:right w:val="single" w:sz="4" w:space="0" w:color="000000"/>
            </w:tcBorders>
            <w:shd w:val="clear" w:color="auto" w:fill="auto"/>
            <w:hideMark/>
          </w:tcPr>
          <w:p w14:paraId="3896F86A"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75881-F</w:t>
            </w:r>
          </w:p>
        </w:tc>
        <w:tc>
          <w:tcPr>
            <w:tcW w:w="1880" w:type="dxa"/>
            <w:tcBorders>
              <w:top w:val="nil"/>
              <w:left w:val="nil"/>
              <w:bottom w:val="single" w:sz="4" w:space="0" w:color="000000"/>
              <w:right w:val="single" w:sz="4" w:space="0" w:color="000000"/>
            </w:tcBorders>
            <w:shd w:val="clear" w:color="auto" w:fill="auto"/>
            <w:hideMark/>
          </w:tcPr>
          <w:p w14:paraId="12C4C793"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Arapahoe</w:t>
            </w:r>
          </w:p>
        </w:tc>
        <w:tc>
          <w:tcPr>
            <w:tcW w:w="2400" w:type="dxa"/>
            <w:tcBorders>
              <w:top w:val="nil"/>
              <w:left w:val="nil"/>
              <w:bottom w:val="single" w:sz="4" w:space="0" w:color="000000"/>
              <w:right w:val="single" w:sz="4" w:space="0" w:color="000000"/>
            </w:tcBorders>
            <w:shd w:val="clear" w:color="auto" w:fill="auto"/>
            <w:hideMark/>
          </w:tcPr>
          <w:p w14:paraId="2228FB17" w14:textId="77777777" w:rsidR="00CC7744" w:rsidRPr="00CC7744" w:rsidRDefault="00CC7744" w:rsidP="00CC7744">
            <w:pPr>
              <w:spacing w:after="0" w:line="240" w:lineRule="auto"/>
              <w:rPr>
                <w:rFonts w:ascii="Times New Roman" w:eastAsia="Times New Roman" w:hAnsi="Times New Roman" w:cs="Times New Roman"/>
                <w:sz w:val="24"/>
                <w:szCs w:val="24"/>
              </w:rPr>
            </w:pPr>
            <w:r w:rsidRPr="00CC7744">
              <w:rPr>
                <w:rFonts w:ascii="Times New Roman" w:eastAsia="Times New Roman" w:hAnsi="Times New Roman" w:cs="Times New Roman"/>
                <w:sz w:val="24"/>
                <w:szCs w:val="24"/>
              </w:rPr>
              <w:t>Non-Tributary</w:t>
            </w:r>
          </w:p>
        </w:tc>
      </w:tr>
      <w:tr w:rsidR="00CC7744" w:rsidRPr="00CC7744" w14:paraId="10CCD2F0" w14:textId="77777777" w:rsidTr="00CC7744">
        <w:trPr>
          <w:trHeight w:val="345"/>
        </w:trPr>
        <w:tc>
          <w:tcPr>
            <w:tcW w:w="1980" w:type="dxa"/>
            <w:tcBorders>
              <w:top w:val="nil"/>
              <w:left w:val="single" w:sz="4" w:space="0" w:color="000000"/>
              <w:bottom w:val="single" w:sz="4" w:space="0" w:color="000000"/>
              <w:right w:val="single" w:sz="4" w:space="0" w:color="000000"/>
            </w:tcBorders>
            <w:shd w:val="clear" w:color="000000" w:fill="D9D9D9"/>
            <w:hideMark/>
          </w:tcPr>
          <w:p w14:paraId="31A4B748" w14:textId="77777777" w:rsidR="00CC7744" w:rsidRPr="00CC7744" w:rsidRDefault="00CC7744" w:rsidP="00CC7744">
            <w:pPr>
              <w:spacing w:after="0" w:line="240" w:lineRule="auto"/>
              <w:rPr>
                <w:rFonts w:ascii="Times New Roman" w:eastAsia="Times New Roman" w:hAnsi="Times New Roman" w:cs="Times New Roman"/>
                <w:b/>
                <w:bCs/>
                <w:sz w:val="24"/>
                <w:szCs w:val="24"/>
              </w:rPr>
            </w:pPr>
            <w:r w:rsidRPr="00CC7744">
              <w:rPr>
                <w:rFonts w:ascii="Times New Roman" w:eastAsia="Times New Roman" w:hAnsi="Times New Roman" w:cs="Times New Roman"/>
                <w:b/>
                <w:bCs/>
                <w:sz w:val="24"/>
                <w:szCs w:val="24"/>
              </w:rPr>
              <w:t>Total</w:t>
            </w:r>
          </w:p>
        </w:tc>
        <w:tc>
          <w:tcPr>
            <w:tcW w:w="1560" w:type="dxa"/>
            <w:tcBorders>
              <w:top w:val="nil"/>
              <w:left w:val="nil"/>
              <w:bottom w:val="single" w:sz="4" w:space="0" w:color="000000"/>
              <w:right w:val="single" w:sz="4" w:space="0" w:color="000000"/>
            </w:tcBorders>
            <w:shd w:val="clear" w:color="000000" w:fill="D9D9D9"/>
            <w:noWrap/>
            <w:hideMark/>
          </w:tcPr>
          <w:p w14:paraId="171803CD" w14:textId="77777777" w:rsidR="00CC7744" w:rsidRPr="00CC7744" w:rsidRDefault="00CC7744" w:rsidP="00CC7744">
            <w:pPr>
              <w:spacing w:after="0" w:line="240" w:lineRule="auto"/>
              <w:rPr>
                <w:rFonts w:ascii="Times New Roman" w:eastAsia="Times New Roman" w:hAnsi="Times New Roman" w:cs="Times New Roman"/>
                <w:b/>
                <w:bCs/>
                <w:color w:val="000000"/>
                <w:sz w:val="24"/>
                <w:szCs w:val="24"/>
              </w:rPr>
            </w:pPr>
            <w:r w:rsidRPr="00CC7744">
              <w:rPr>
                <w:rFonts w:ascii="Times New Roman" w:eastAsia="Times New Roman" w:hAnsi="Times New Roman" w:cs="Times New Roman"/>
                <w:b/>
                <w:bCs/>
                <w:color w:val="000000"/>
                <w:sz w:val="24"/>
                <w:szCs w:val="24"/>
              </w:rPr>
              <w:t>458.3</w:t>
            </w:r>
          </w:p>
        </w:tc>
        <w:tc>
          <w:tcPr>
            <w:tcW w:w="1360" w:type="dxa"/>
            <w:tcBorders>
              <w:top w:val="nil"/>
              <w:left w:val="nil"/>
              <w:bottom w:val="single" w:sz="4" w:space="0" w:color="000000"/>
              <w:right w:val="single" w:sz="4" w:space="0" w:color="000000"/>
            </w:tcBorders>
            <w:shd w:val="clear" w:color="000000" w:fill="D9D9D9"/>
            <w:vAlign w:val="bottom"/>
            <w:hideMark/>
          </w:tcPr>
          <w:p w14:paraId="0F567D42" w14:textId="77777777" w:rsidR="00CC7744" w:rsidRPr="00CC7744" w:rsidRDefault="00CC7744" w:rsidP="00CC7744">
            <w:pPr>
              <w:spacing w:after="0" w:line="240" w:lineRule="auto"/>
              <w:rPr>
                <w:rFonts w:ascii="Times New Roman" w:eastAsia="Times New Roman" w:hAnsi="Times New Roman" w:cs="Times New Roman"/>
                <w:color w:val="000000"/>
                <w:szCs w:val="20"/>
              </w:rPr>
            </w:pPr>
            <w:r w:rsidRPr="00CC7744">
              <w:rPr>
                <w:rFonts w:ascii="Times New Roman" w:eastAsia="Times New Roman" w:hAnsi="Times New Roman" w:cs="Times New Roman"/>
                <w:color w:val="000000"/>
                <w:szCs w:val="20"/>
              </w:rPr>
              <w:t> </w:t>
            </w:r>
          </w:p>
        </w:tc>
        <w:tc>
          <w:tcPr>
            <w:tcW w:w="1880" w:type="dxa"/>
            <w:tcBorders>
              <w:top w:val="nil"/>
              <w:left w:val="nil"/>
              <w:bottom w:val="single" w:sz="4" w:space="0" w:color="000000"/>
              <w:right w:val="single" w:sz="4" w:space="0" w:color="000000"/>
            </w:tcBorders>
            <w:shd w:val="clear" w:color="000000" w:fill="D9D9D9"/>
            <w:vAlign w:val="bottom"/>
            <w:hideMark/>
          </w:tcPr>
          <w:p w14:paraId="040FFFC8" w14:textId="77777777" w:rsidR="00CC7744" w:rsidRPr="00CC7744" w:rsidRDefault="00CC7744" w:rsidP="00CC7744">
            <w:pPr>
              <w:spacing w:after="0" w:line="240" w:lineRule="auto"/>
              <w:rPr>
                <w:rFonts w:ascii="Times New Roman" w:eastAsia="Times New Roman" w:hAnsi="Times New Roman" w:cs="Times New Roman"/>
                <w:color w:val="000000"/>
                <w:szCs w:val="20"/>
              </w:rPr>
            </w:pPr>
            <w:r w:rsidRPr="00CC7744">
              <w:rPr>
                <w:rFonts w:ascii="Times New Roman" w:eastAsia="Times New Roman" w:hAnsi="Times New Roman" w:cs="Times New Roman"/>
                <w:color w:val="000000"/>
                <w:szCs w:val="20"/>
              </w:rPr>
              <w:t> </w:t>
            </w:r>
          </w:p>
        </w:tc>
        <w:tc>
          <w:tcPr>
            <w:tcW w:w="2400" w:type="dxa"/>
            <w:tcBorders>
              <w:top w:val="nil"/>
              <w:left w:val="nil"/>
              <w:bottom w:val="single" w:sz="4" w:space="0" w:color="000000"/>
              <w:right w:val="single" w:sz="4" w:space="0" w:color="000000"/>
            </w:tcBorders>
            <w:shd w:val="clear" w:color="000000" w:fill="D9D9D9"/>
            <w:vAlign w:val="bottom"/>
            <w:hideMark/>
          </w:tcPr>
          <w:p w14:paraId="74D454F9" w14:textId="77777777" w:rsidR="00CC7744" w:rsidRPr="00CC7744" w:rsidRDefault="00CC7744" w:rsidP="00CC7744">
            <w:pPr>
              <w:spacing w:after="0" w:line="240" w:lineRule="auto"/>
              <w:rPr>
                <w:rFonts w:ascii="Times New Roman" w:eastAsia="Times New Roman" w:hAnsi="Times New Roman" w:cs="Times New Roman"/>
                <w:color w:val="000000"/>
                <w:szCs w:val="20"/>
              </w:rPr>
            </w:pPr>
            <w:r w:rsidRPr="00CC7744">
              <w:rPr>
                <w:rFonts w:ascii="Times New Roman" w:eastAsia="Times New Roman" w:hAnsi="Times New Roman" w:cs="Times New Roman"/>
                <w:color w:val="000000"/>
                <w:szCs w:val="20"/>
              </w:rPr>
              <w:t> </w:t>
            </w:r>
          </w:p>
        </w:tc>
      </w:tr>
    </w:tbl>
    <w:p w14:paraId="180E51A8" w14:textId="77777777" w:rsidR="00CC7744" w:rsidRDefault="00CC7744" w:rsidP="00194778">
      <w:pPr>
        <w:pStyle w:val="ListParagraph"/>
        <w:spacing w:after="0" w:line="240" w:lineRule="auto"/>
        <w:rPr>
          <w:rFonts w:eastAsia="Times New Roman" w:cstheme="minorHAnsi"/>
          <w:sz w:val="22"/>
        </w:rPr>
      </w:pPr>
    </w:p>
    <w:p w14:paraId="7C5278B4" w14:textId="0031B69C" w:rsidR="00CC7744" w:rsidRDefault="00C22063" w:rsidP="00C22063">
      <w:pPr>
        <w:pStyle w:val="ListParagraph"/>
        <w:spacing w:after="0" w:line="240" w:lineRule="auto"/>
        <w:rPr>
          <w:rFonts w:eastAsia="Times New Roman" w:cstheme="minorHAnsi"/>
          <w:sz w:val="22"/>
        </w:rPr>
      </w:pPr>
      <w:r w:rsidRPr="00C22063">
        <w:rPr>
          <w:rFonts w:eastAsia="Times New Roman" w:cstheme="minorHAnsi"/>
          <w:sz w:val="22"/>
        </w:rPr>
        <w:t>By the end of 2021, CMD will have at total of 4,443 AFY of exportable water supplies sourced from alluvial and deep bedrock aquifers. Further development in the Denver Basin is not planned at this time and instead CMD is focusing on acquiring new renewable supplies proximate to existing infrastructure.</w:t>
      </w:r>
    </w:p>
    <w:p w14:paraId="0E3734A0" w14:textId="76EA8935" w:rsidR="002F6E92" w:rsidRDefault="002F6E92" w:rsidP="00C22063">
      <w:pPr>
        <w:pStyle w:val="ListParagraph"/>
        <w:spacing w:after="0" w:line="240" w:lineRule="auto"/>
        <w:rPr>
          <w:rFonts w:eastAsia="Times New Roman" w:cstheme="minorHAnsi"/>
          <w:sz w:val="22"/>
        </w:rPr>
      </w:pPr>
    </w:p>
    <w:p w14:paraId="1F4C452F" w14:textId="1AD23E04" w:rsidR="002F6E92" w:rsidRPr="002F6E92" w:rsidRDefault="002F6E92" w:rsidP="002F6E92">
      <w:pPr>
        <w:spacing w:after="0" w:line="240" w:lineRule="auto"/>
        <w:ind w:left="720"/>
        <w:rPr>
          <w:rFonts w:eastAsia="Times New Roman" w:cstheme="minorHAnsi"/>
          <w:sz w:val="22"/>
        </w:rPr>
      </w:pPr>
      <w:r w:rsidRPr="002F6E92">
        <w:rPr>
          <w:rFonts w:eastAsia="Times New Roman" w:cstheme="minorHAnsi"/>
          <w:sz w:val="22"/>
        </w:rPr>
        <w:t xml:space="preserve">CMD’s water commitments stand at 4,130.4 AFY. The Tipton and Kane commitments are related to an arrangement from the mid-2000’s where developers reserved commitments on two new wells. The water from these wells is considered fully committed to these developers even if they have not yet begun the projects associated with the reserved commitments. Due to a complex legal history, the “Kane” water right was not tied to a specific physical water well but instead operates as a commitment served from CMD’s general supply portfolio.  The “Tipton” </w:t>
      </w:r>
    </w:p>
    <w:p w14:paraId="479D819E" w14:textId="49BC3B36" w:rsidR="002F6E92" w:rsidRDefault="002F6E92" w:rsidP="002F6E92">
      <w:pPr>
        <w:spacing w:after="0" w:line="240" w:lineRule="auto"/>
        <w:ind w:left="720"/>
        <w:rPr>
          <w:rFonts w:eastAsia="Times New Roman" w:cstheme="minorHAnsi"/>
          <w:sz w:val="22"/>
        </w:rPr>
      </w:pPr>
      <w:r w:rsidRPr="002F6E92">
        <w:rPr>
          <w:rFonts w:eastAsia="Times New Roman" w:cstheme="minorHAnsi"/>
          <w:sz w:val="22"/>
        </w:rPr>
        <w:t>water right corresponds to CMD’s Well 18.</w:t>
      </w:r>
    </w:p>
    <w:p w14:paraId="55385391" w14:textId="77777777" w:rsidR="00233759" w:rsidRDefault="00233759" w:rsidP="002F6E92">
      <w:pPr>
        <w:spacing w:after="0" w:line="240" w:lineRule="auto"/>
        <w:ind w:left="720"/>
        <w:rPr>
          <w:rFonts w:eastAsia="Times New Roman" w:cstheme="minorHAnsi"/>
          <w:sz w:val="22"/>
        </w:rPr>
      </w:pPr>
    </w:p>
    <w:p w14:paraId="0433122A" w14:textId="6CEAD06B" w:rsidR="00233759" w:rsidRDefault="00233759" w:rsidP="002F6E92">
      <w:pPr>
        <w:spacing w:after="0" w:line="240" w:lineRule="auto"/>
        <w:ind w:left="720"/>
        <w:rPr>
          <w:rFonts w:eastAsia="Times New Roman" w:cstheme="minorHAnsi"/>
          <w:sz w:val="22"/>
        </w:rPr>
      </w:pPr>
      <w:r w:rsidRPr="00233759">
        <w:rPr>
          <w:rFonts w:eastAsia="Times New Roman" w:cstheme="minorHAnsi"/>
          <w:b/>
          <w:bCs/>
          <w:sz w:val="22"/>
        </w:rPr>
        <w:t>Table 3:</w:t>
      </w:r>
      <w:r w:rsidRPr="00233759">
        <w:rPr>
          <w:rFonts w:eastAsia="Times New Roman" w:cstheme="minorHAnsi"/>
          <w:sz w:val="22"/>
        </w:rPr>
        <w:t xml:space="preserve"> CMD Commitments before addition of new development</w:t>
      </w:r>
    </w:p>
    <w:p w14:paraId="074A848C" w14:textId="35617981" w:rsidR="00233759" w:rsidRDefault="00233759" w:rsidP="002F6E92">
      <w:pPr>
        <w:spacing w:after="0" w:line="240" w:lineRule="auto"/>
        <w:ind w:left="720"/>
        <w:rPr>
          <w:rFonts w:eastAsia="Times New Roman" w:cstheme="minorHAnsi"/>
          <w:sz w:val="22"/>
        </w:rPr>
      </w:pPr>
      <w:r>
        <w:rPr>
          <w:noProof/>
        </w:rPr>
        <w:drawing>
          <wp:inline distT="0" distB="0" distL="0" distR="0" wp14:anchorId="777F256C" wp14:editId="63CB9F16">
            <wp:extent cx="2866667" cy="197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66667" cy="1971429"/>
                    </a:xfrm>
                    <a:prstGeom prst="rect">
                      <a:avLst/>
                    </a:prstGeom>
                  </pic:spPr>
                </pic:pic>
              </a:graphicData>
            </a:graphic>
          </wp:inline>
        </w:drawing>
      </w:r>
    </w:p>
    <w:p w14:paraId="2F3C4D9F" w14:textId="2D0776A5" w:rsidR="00233759" w:rsidRDefault="00233759" w:rsidP="002F6E92">
      <w:pPr>
        <w:spacing w:after="0" w:line="240" w:lineRule="auto"/>
        <w:ind w:left="720"/>
        <w:rPr>
          <w:rFonts w:eastAsia="Times New Roman" w:cstheme="minorHAnsi"/>
          <w:sz w:val="22"/>
        </w:rPr>
      </w:pPr>
    </w:p>
    <w:p w14:paraId="358B03C3" w14:textId="5FE7B6B1" w:rsidR="00233759" w:rsidRDefault="00233759" w:rsidP="002F6E92">
      <w:pPr>
        <w:spacing w:after="0" w:line="240" w:lineRule="auto"/>
        <w:ind w:left="720"/>
        <w:rPr>
          <w:rFonts w:eastAsia="Times New Roman" w:cstheme="minorHAnsi"/>
          <w:sz w:val="22"/>
        </w:rPr>
      </w:pPr>
    </w:p>
    <w:p w14:paraId="57587CCA" w14:textId="19C22EBB" w:rsidR="00233759" w:rsidRDefault="00233759" w:rsidP="002F6E92">
      <w:pPr>
        <w:spacing w:after="0" w:line="240" w:lineRule="auto"/>
        <w:ind w:left="720"/>
        <w:rPr>
          <w:rFonts w:eastAsia="Times New Roman" w:cstheme="minorHAnsi"/>
          <w:sz w:val="22"/>
        </w:rPr>
      </w:pPr>
    </w:p>
    <w:p w14:paraId="49878151" w14:textId="68A6511C" w:rsidR="00233759" w:rsidRDefault="00233759" w:rsidP="002F6E92">
      <w:pPr>
        <w:spacing w:after="0" w:line="240" w:lineRule="auto"/>
        <w:ind w:left="720"/>
        <w:rPr>
          <w:rFonts w:eastAsia="Times New Roman" w:cstheme="minorHAnsi"/>
          <w:sz w:val="22"/>
        </w:rPr>
      </w:pPr>
    </w:p>
    <w:p w14:paraId="2F7B95E7" w14:textId="77777777" w:rsidR="00233759" w:rsidRDefault="00233759" w:rsidP="00233759">
      <w:pPr>
        <w:pStyle w:val="ListParagraph"/>
        <w:spacing w:after="0" w:line="240" w:lineRule="auto"/>
        <w:rPr>
          <w:rFonts w:eastAsia="Times New Roman" w:cstheme="minorHAnsi"/>
          <w:sz w:val="22"/>
        </w:rPr>
      </w:pPr>
      <w:r w:rsidRPr="002F6E92">
        <w:rPr>
          <w:rFonts w:eastAsia="Times New Roman" w:cstheme="minorHAnsi"/>
          <w:sz w:val="22"/>
        </w:rPr>
        <w:t>With 4,443.0 AFY of exportable supply and 4,130.4 AFY of commitments, CMD has a water balance of 312.6 AFY remaining for additional commitments.</w:t>
      </w:r>
    </w:p>
    <w:p w14:paraId="4F82939C" w14:textId="77777777" w:rsidR="00233759" w:rsidRDefault="00233759" w:rsidP="002F6E92">
      <w:pPr>
        <w:spacing w:after="0" w:line="240" w:lineRule="auto"/>
        <w:ind w:left="720"/>
        <w:rPr>
          <w:rFonts w:eastAsia="Times New Roman" w:cstheme="minorHAnsi"/>
          <w:sz w:val="22"/>
        </w:rPr>
      </w:pPr>
    </w:p>
    <w:p w14:paraId="25D7F983" w14:textId="673DC438" w:rsidR="002F6E92" w:rsidRPr="00375C77" w:rsidRDefault="002F6E92" w:rsidP="002F6E92">
      <w:pPr>
        <w:spacing w:after="0" w:line="240" w:lineRule="auto"/>
        <w:ind w:left="720"/>
        <w:rPr>
          <w:rFonts w:eastAsia="Times New Roman" w:cstheme="minorHAnsi"/>
          <w:sz w:val="22"/>
        </w:rPr>
      </w:pPr>
      <w:r w:rsidRPr="00375C77">
        <w:rPr>
          <w:rFonts w:eastAsia="Times New Roman" w:cstheme="minorHAnsi"/>
          <w:sz w:val="22"/>
        </w:rPr>
        <w:t xml:space="preserve">CMD has committed to allocate 90.9 AF/YR for the proposed development out of its current supplies. It should be noted that the district has committed to serve development within the proposed development boundaries since the property was annexed into the district (Recorded April 25, 1984 in Book 3862 at Page 949, and July 10, 1984 in Book 3892 at Page 529). </w:t>
      </w:r>
    </w:p>
    <w:p w14:paraId="2512C454" w14:textId="77777777" w:rsidR="002F6E92" w:rsidRDefault="002F6E92" w:rsidP="002F6E92">
      <w:pPr>
        <w:pStyle w:val="ListParagraph"/>
        <w:spacing w:after="0" w:line="240" w:lineRule="auto"/>
        <w:rPr>
          <w:rFonts w:eastAsia="Times New Roman" w:cstheme="minorHAnsi"/>
          <w:sz w:val="22"/>
        </w:rPr>
      </w:pPr>
    </w:p>
    <w:p w14:paraId="25CE6ADC" w14:textId="77777777" w:rsidR="00194778" w:rsidRPr="00375C77" w:rsidRDefault="00194778" w:rsidP="00194778">
      <w:pPr>
        <w:pStyle w:val="ListParagraph"/>
        <w:spacing w:after="0" w:line="240" w:lineRule="auto"/>
        <w:rPr>
          <w:rFonts w:cstheme="minorHAnsi"/>
          <w:sz w:val="22"/>
          <w:szCs w:val="24"/>
        </w:rPr>
      </w:pPr>
    </w:p>
    <w:p w14:paraId="7AE65003" w14:textId="4D2A098C" w:rsidR="00194778" w:rsidRPr="00375C77" w:rsidRDefault="00194778" w:rsidP="00194778">
      <w:pPr>
        <w:pStyle w:val="ListParagraph"/>
        <w:spacing w:after="0" w:line="240" w:lineRule="auto"/>
        <w:rPr>
          <w:rFonts w:cstheme="minorHAnsi"/>
          <w:sz w:val="22"/>
          <w:szCs w:val="24"/>
        </w:rPr>
      </w:pPr>
      <w:r w:rsidRPr="00375C77">
        <w:rPr>
          <w:rFonts w:cstheme="minorHAnsi"/>
          <w:sz w:val="22"/>
          <w:szCs w:val="24"/>
        </w:rPr>
        <w:t xml:space="preserve">CMD has a collection of wells, pump stations, conveyance pipelines, storage tanks, and treatment facilities to deliver potable water to its customers. </w:t>
      </w:r>
    </w:p>
    <w:p w14:paraId="709877FA" w14:textId="77777777" w:rsidR="00194778" w:rsidRPr="00375C77" w:rsidRDefault="00194778" w:rsidP="00194778">
      <w:pPr>
        <w:pStyle w:val="ListParagraph"/>
        <w:spacing w:after="0" w:line="240" w:lineRule="auto"/>
        <w:rPr>
          <w:rFonts w:cstheme="minorHAnsi"/>
        </w:rPr>
      </w:pPr>
    </w:p>
    <w:p w14:paraId="243F9973" w14:textId="1396EB48" w:rsidR="00194778" w:rsidRPr="00375C77" w:rsidRDefault="00194778" w:rsidP="00194778">
      <w:pPr>
        <w:pStyle w:val="ListParagraph"/>
        <w:spacing w:after="0" w:line="240" w:lineRule="auto"/>
        <w:rPr>
          <w:rFonts w:cstheme="minorHAnsi"/>
          <w:sz w:val="22"/>
          <w:szCs w:val="24"/>
        </w:rPr>
      </w:pPr>
      <w:r w:rsidRPr="00375C77">
        <w:rPr>
          <w:rFonts w:cstheme="minorHAnsi"/>
          <w:sz w:val="22"/>
          <w:szCs w:val="24"/>
        </w:rPr>
        <w:t>The general delivery system begins with raw water produced from the north and south well fields in the UBSC. Raw water quality from the UBSC is good, and generally only requires chlorination at the wellhead. This water is first delivered to the Ellicott Tank (0.5 MG) located near Ellicott. A pump station at the Ellicott Tank conveys water along Highway 94 west to the CMD service are via a 30-inch pipeline. The 30-inch pipeline terminates at Tank 1 (3 MG) at the south end of Cimarron Hills. Two booster pump stations at Tank 1 can deliver water to Tank 2 (3 MG) and Tank 2a (4 MG), located centrally in Cimarron Hills. A booster pump station at this location delivers raw water to Tank 3 (5 MG), at the northern end of Cimarron Hills.</w:t>
      </w:r>
    </w:p>
    <w:p w14:paraId="05F20D1B" w14:textId="77777777" w:rsidR="00194778" w:rsidRPr="00375C77" w:rsidRDefault="00194778" w:rsidP="00194778">
      <w:pPr>
        <w:pStyle w:val="ListParagraph"/>
        <w:spacing w:after="0" w:line="240" w:lineRule="auto"/>
        <w:ind w:left="1440"/>
        <w:rPr>
          <w:rFonts w:eastAsia="Times New Roman" w:cstheme="minorHAnsi"/>
          <w:sz w:val="22"/>
        </w:rPr>
      </w:pPr>
    </w:p>
    <w:p w14:paraId="31ED6ED8" w14:textId="77777777" w:rsidR="00194778" w:rsidRPr="00375C77" w:rsidRDefault="00194778" w:rsidP="00194778">
      <w:pPr>
        <w:pStyle w:val="ListParagraph"/>
        <w:spacing w:after="0" w:line="240" w:lineRule="auto"/>
        <w:ind w:left="2880"/>
        <w:rPr>
          <w:rFonts w:eastAsia="Times New Roman" w:cstheme="minorHAnsi"/>
          <w:sz w:val="22"/>
        </w:rPr>
      </w:pPr>
      <w:r w:rsidRPr="00375C77">
        <w:rPr>
          <w:rFonts w:eastAsia="Times New Roman" w:cstheme="minorHAnsi"/>
          <w:sz w:val="22"/>
        </w:rPr>
        <w:t xml:space="preserve">       Existing Water Storage Tanks</w:t>
      </w:r>
    </w:p>
    <w:tbl>
      <w:tblPr>
        <w:tblStyle w:val="TableGrid"/>
        <w:tblW w:w="0" w:type="auto"/>
        <w:jc w:val="center"/>
        <w:tblLook w:val="04A0" w:firstRow="1" w:lastRow="0" w:firstColumn="1" w:lastColumn="0" w:noHBand="0" w:noVBand="1"/>
      </w:tblPr>
      <w:tblGrid>
        <w:gridCol w:w="2245"/>
        <w:gridCol w:w="1710"/>
      </w:tblGrid>
      <w:tr w:rsidR="00194778" w:rsidRPr="00375C77" w14:paraId="4665238D" w14:textId="77777777" w:rsidTr="00194778">
        <w:trPr>
          <w:trHeight w:val="332"/>
          <w:jc w:val="center"/>
        </w:trPr>
        <w:tc>
          <w:tcPr>
            <w:tcW w:w="2245" w:type="dxa"/>
          </w:tcPr>
          <w:p w14:paraId="7CC22A7C"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Tank Name</w:t>
            </w:r>
          </w:p>
        </w:tc>
        <w:tc>
          <w:tcPr>
            <w:tcW w:w="1710" w:type="dxa"/>
          </w:tcPr>
          <w:p w14:paraId="3FE4C4F8"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Volume (MGAL)</w:t>
            </w:r>
          </w:p>
        </w:tc>
      </w:tr>
      <w:tr w:rsidR="00194778" w:rsidRPr="00375C77" w14:paraId="16C1D41E" w14:textId="77777777" w:rsidTr="00194778">
        <w:trPr>
          <w:jc w:val="center"/>
        </w:trPr>
        <w:tc>
          <w:tcPr>
            <w:tcW w:w="2245" w:type="dxa"/>
          </w:tcPr>
          <w:p w14:paraId="3111C0AD"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ELLICOTT TANK</w:t>
            </w:r>
          </w:p>
        </w:tc>
        <w:tc>
          <w:tcPr>
            <w:tcW w:w="1710" w:type="dxa"/>
          </w:tcPr>
          <w:p w14:paraId="11196845"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0.5</w:t>
            </w:r>
          </w:p>
        </w:tc>
      </w:tr>
      <w:tr w:rsidR="00194778" w:rsidRPr="00375C77" w14:paraId="06468494" w14:textId="77777777" w:rsidTr="00194778">
        <w:trPr>
          <w:jc w:val="center"/>
        </w:trPr>
        <w:tc>
          <w:tcPr>
            <w:tcW w:w="2245" w:type="dxa"/>
          </w:tcPr>
          <w:p w14:paraId="24F34D74"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TANK 1</w:t>
            </w:r>
          </w:p>
        </w:tc>
        <w:tc>
          <w:tcPr>
            <w:tcW w:w="1710" w:type="dxa"/>
          </w:tcPr>
          <w:p w14:paraId="24EF2AB7" w14:textId="77777777" w:rsidR="00194778" w:rsidRPr="00375C77" w:rsidRDefault="00194778" w:rsidP="00375C77">
            <w:pPr>
              <w:pStyle w:val="ListParagraph"/>
              <w:spacing w:line="240" w:lineRule="auto"/>
              <w:ind w:left="0"/>
              <w:rPr>
                <w:rFonts w:eastAsia="Times New Roman" w:cstheme="minorHAnsi"/>
                <w:sz w:val="22"/>
              </w:rPr>
            </w:pPr>
            <w:r w:rsidRPr="00375C77">
              <w:rPr>
                <w:rFonts w:eastAsia="Times New Roman" w:cstheme="minorHAnsi"/>
                <w:sz w:val="22"/>
              </w:rPr>
              <w:t>3.0</w:t>
            </w:r>
          </w:p>
        </w:tc>
      </w:tr>
      <w:tr w:rsidR="00194778" w:rsidRPr="00375C77" w14:paraId="1EBC4B11" w14:textId="77777777" w:rsidTr="00194778">
        <w:trPr>
          <w:jc w:val="center"/>
        </w:trPr>
        <w:tc>
          <w:tcPr>
            <w:tcW w:w="2245" w:type="dxa"/>
          </w:tcPr>
          <w:p w14:paraId="5A58C9ED" w14:textId="77777777" w:rsidR="00194778" w:rsidRPr="00375C77" w:rsidRDefault="00194778" w:rsidP="00701751">
            <w:pPr>
              <w:pStyle w:val="ListParagraph"/>
              <w:spacing w:line="240" w:lineRule="auto"/>
              <w:ind w:left="0"/>
              <w:rPr>
                <w:rFonts w:eastAsia="Times New Roman" w:cstheme="minorHAnsi"/>
                <w:sz w:val="22"/>
              </w:rPr>
            </w:pPr>
            <w:bookmarkStart w:id="0" w:name="_GoBack"/>
            <w:r w:rsidRPr="00375C77">
              <w:rPr>
                <w:rFonts w:eastAsia="Times New Roman" w:cstheme="minorHAnsi"/>
                <w:sz w:val="22"/>
              </w:rPr>
              <w:t>TANK 2</w:t>
            </w:r>
          </w:p>
        </w:tc>
        <w:tc>
          <w:tcPr>
            <w:tcW w:w="1710" w:type="dxa"/>
          </w:tcPr>
          <w:p w14:paraId="1B4770BA"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1.0</w:t>
            </w:r>
          </w:p>
        </w:tc>
      </w:tr>
      <w:bookmarkEnd w:id="0"/>
      <w:tr w:rsidR="00194778" w:rsidRPr="00375C77" w14:paraId="38057088" w14:textId="77777777" w:rsidTr="00194778">
        <w:trPr>
          <w:jc w:val="center"/>
        </w:trPr>
        <w:tc>
          <w:tcPr>
            <w:tcW w:w="2245" w:type="dxa"/>
          </w:tcPr>
          <w:p w14:paraId="38988732"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TANK 3 (TAMLIN)</w:t>
            </w:r>
          </w:p>
        </w:tc>
        <w:tc>
          <w:tcPr>
            <w:tcW w:w="1710" w:type="dxa"/>
          </w:tcPr>
          <w:p w14:paraId="4E874F99"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5.0</w:t>
            </w:r>
          </w:p>
        </w:tc>
      </w:tr>
      <w:tr w:rsidR="00194778" w:rsidRPr="00375C77" w14:paraId="7997A4F1" w14:textId="77777777" w:rsidTr="00194778">
        <w:trPr>
          <w:jc w:val="center"/>
        </w:trPr>
        <w:tc>
          <w:tcPr>
            <w:tcW w:w="2245" w:type="dxa"/>
          </w:tcPr>
          <w:p w14:paraId="43BAE3FA"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TANK 4</w:t>
            </w:r>
          </w:p>
        </w:tc>
        <w:tc>
          <w:tcPr>
            <w:tcW w:w="1710" w:type="dxa"/>
          </w:tcPr>
          <w:p w14:paraId="73C8CE1A"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3.0</w:t>
            </w:r>
          </w:p>
        </w:tc>
      </w:tr>
      <w:tr w:rsidR="00194778" w:rsidRPr="00375C77" w14:paraId="4B3F8846" w14:textId="77777777" w:rsidTr="00194778">
        <w:trPr>
          <w:jc w:val="center"/>
        </w:trPr>
        <w:tc>
          <w:tcPr>
            <w:tcW w:w="2245" w:type="dxa"/>
          </w:tcPr>
          <w:p w14:paraId="499FA829"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FRANK ROAD TANK</w:t>
            </w:r>
          </w:p>
        </w:tc>
        <w:tc>
          <w:tcPr>
            <w:tcW w:w="1710" w:type="dxa"/>
          </w:tcPr>
          <w:p w14:paraId="0D031B6B"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2.0</w:t>
            </w:r>
          </w:p>
        </w:tc>
      </w:tr>
      <w:tr w:rsidR="00194778" w:rsidRPr="00375C77" w14:paraId="726AA406" w14:textId="77777777" w:rsidTr="00194778">
        <w:trPr>
          <w:jc w:val="center"/>
        </w:trPr>
        <w:tc>
          <w:tcPr>
            <w:tcW w:w="2245" w:type="dxa"/>
          </w:tcPr>
          <w:p w14:paraId="5F5BCC4E"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SUNDANCE TANK</w:t>
            </w:r>
          </w:p>
        </w:tc>
        <w:tc>
          <w:tcPr>
            <w:tcW w:w="1710" w:type="dxa"/>
          </w:tcPr>
          <w:p w14:paraId="5FB9B53C"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0.5</w:t>
            </w:r>
          </w:p>
        </w:tc>
      </w:tr>
      <w:tr w:rsidR="00194778" w:rsidRPr="00375C77" w14:paraId="412FED59" w14:textId="77777777" w:rsidTr="00194778">
        <w:trPr>
          <w:jc w:val="center"/>
        </w:trPr>
        <w:tc>
          <w:tcPr>
            <w:tcW w:w="2245" w:type="dxa"/>
          </w:tcPr>
          <w:p w14:paraId="0023633C"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TOTAL</w:t>
            </w:r>
          </w:p>
        </w:tc>
        <w:tc>
          <w:tcPr>
            <w:tcW w:w="1710" w:type="dxa"/>
          </w:tcPr>
          <w:p w14:paraId="68A29B62" w14:textId="77777777" w:rsidR="00194778" w:rsidRPr="00375C77" w:rsidRDefault="00194778" w:rsidP="00701751">
            <w:pPr>
              <w:pStyle w:val="ListParagraph"/>
              <w:spacing w:line="240" w:lineRule="auto"/>
              <w:ind w:left="0"/>
              <w:rPr>
                <w:rFonts w:eastAsia="Times New Roman" w:cstheme="minorHAnsi"/>
                <w:sz w:val="22"/>
              </w:rPr>
            </w:pPr>
            <w:r w:rsidRPr="00375C77">
              <w:rPr>
                <w:rFonts w:eastAsia="Times New Roman" w:cstheme="minorHAnsi"/>
                <w:sz w:val="22"/>
              </w:rPr>
              <w:t>15.0</w:t>
            </w:r>
          </w:p>
        </w:tc>
      </w:tr>
    </w:tbl>
    <w:p w14:paraId="66B14306" w14:textId="77777777" w:rsidR="00194778" w:rsidRPr="00375C77" w:rsidRDefault="00194778" w:rsidP="00194778">
      <w:pPr>
        <w:pStyle w:val="ListParagraph"/>
        <w:spacing w:after="0" w:line="240" w:lineRule="auto"/>
        <w:ind w:left="1440"/>
        <w:rPr>
          <w:rFonts w:eastAsia="Times New Roman" w:cstheme="minorHAnsi"/>
          <w:sz w:val="22"/>
        </w:rPr>
      </w:pPr>
    </w:p>
    <w:p w14:paraId="39653943" w14:textId="2F2CEC54" w:rsidR="00194778" w:rsidRPr="00375C77" w:rsidRDefault="00194778" w:rsidP="00194778">
      <w:pPr>
        <w:pStyle w:val="ListParagraph"/>
        <w:spacing w:after="0" w:line="240" w:lineRule="auto"/>
        <w:rPr>
          <w:rFonts w:eastAsia="Times New Roman" w:cstheme="minorHAnsi"/>
          <w:sz w:val="22"/>
        </w:rPr>
      </w:pPr>
      <w:r w:rsidRPr="00375C77">
        <w:rPr>
          <w:rFonts w:eastAsia="Times New Roman" w:cstheme="minorHAnsi"/>
          <w:sz w:val="22"/>
        </w:rPr>
        <w:t xml:space="preserve">Due to water supply limitations in recent years, CMD has been actively engaged in demand management and conservation efforts, and now has some of the lowest per capita demands in Colorado. These low demands were achieved through recommendations for implementation in the 2007 </w:t>
      </w:r>
      <w:r w:rsidR="007F7F40">
        <w:rPr>
          <w:rFonts w:eastAsia="Times New Roman" w:cstheme="minorHAnsi"/>
          <w:sz w:val="22"/>
        </w:rPr>
        <w:t xml:space="preserve">[Water] </w:t>
      </w:r>
      <w:r w:rsidRPr="00375C77">
        <w:rPr>
          <w:rFonts w:eastAsia="Times New Roman" w:cstheme="minorHAnsi"/>
          <w:sz w:val="22"/>
        </w:rPr>
        <w:t>Conservation Plan</w:t>
      </w:r>
      <w:r w:rsidR="007F7F40">
        <w:rPr>
          <w:rFonts w:eastAsia="Times New Roman" w:cstheme="minorHAnsi"/>
          <w:sz w:val="22"/>
        </w:rPr>
        <w:t xml:space="preserve"> (WCP)</w:t>
      </w:r>
      <w:r w:rsidRPr="00375C77">
        <w:rPr>
          <w:rFonts w:eastAsia="Times New Roman" w:cstheme="minorHAnsi"/>
          <w:sz w:val="22"/>
        </w:rPr>
        <w:t>. This included various water conservation measures such as implementation of water reuse, a revised water rate structure, implementation of water-efficient fixtures, and xeric landscaping. The 2015 WCP discusses the outcome of these measures and recommends additional alternatives to further enhance CMD’s water-use efficiency.</w:t>
      </w:r>
    </w:p>
    <w:p w14:paraId="7B529162" w14:textId="77777777" w:rsidR="00194778" w:rsidRPr="00375C77" w:rsidRDefault="00194778" w:rsidP="00194778">
      <w:pPr>
        <w:pStyle w:val="ListParagraph"/>
        <w:spacing w:after="0" w:line="240" w:lineRule="auto"/>
        <w:ind w:left="1440"/>
        <w:rPr>
          <w:rFonts w:eastAsia="Times New Roman" w:cstheme="minorHAnsi"/>
          <w:sz w:val="22"/>
        </w:rPr>
      </w:pPr>
    </w:p>
    <w:p w14:paraId="29A058D6" w14:textId="4AD15E84" w:rsidR="00194778" w:rsidRPr="00375C77" w:rsidRDefault="00194778" w:rsidP="00194778">
      <w:pPr>
        <w:pStyle w:val="ListParagraph"/>
        <w:spacing w:after="0" w:line="240" w:lineRule="auto"/>
        <w:rPr>
          <w:rFonts w:cstheme="minorHAnsi"/>
          <w:sz w:val="22"/>
          <w:szCs w:val="24"/>
        </w:rPr>
      </w:pPr>
      <w:r w:rsidRPr="00375C77">
        <w:rPr>
          <w:rFonts w:cstheme="minorHAnsi"/>
          <w:sz w:val="22"/>
          <w:szCs w:val="24"/>
        </w:rPr>
        <w:t xml:space="preserve">Efficient water use through conservation measures supports CMD’s commitment to a sustainable approach to water resource management in the region’s semi-arid climate. The WCP identifies and addresses a variety of water-efficiency measures, including water budgets and tiered rate schedules, new approaches to irrigation scheduling, residential and commercial audits for high users, rebates for efficient indoor and outdoor uses, and a review of local and state guidelines for efficient water use. </w:t>
      </w:r>
    </w:p>
    <w:p w14:paraId="077CC384" w14:textId="77777777" w:rsidR="00194778" w:rsidRPr="00375C77" w:rsidRDefault="00194778" w:rsidP="00194778">
      <w:pPr>
        <w:pStyle w:val="ListParagraph"/>
        <w:spacing w:after="0" w:line="240" w:lineRule="auto"/>
        <w:rPr>
          <w:rFonts w:cstheme="minorHAnsi"/>
          <w:sz w:val="22"/>
          <w:szCs w:val="24"/>
        </w:rPr>
      </w:pPr>
    </w:p>
    <w:p w14:paraId="58655427" w14:textId="77777777" w:rsidR="00194778" w:rsidRPr="00375C77" w:rsidRDefault="00194778" w:rsidP="00194778">
      <w:pPr>
        <w:pStyle w:val="ListParagraph"/>
        <w:spacing w:after="0" w:line="240" w:lineRule="auto"/>
        <w:rPr>
          <w:rFonts w:cstheme="minorHAnsi"/>
          <w:sz w:val="22"/>
          <w:szCs w:val="24"/>
        </w:rPr>
      </w:pPr>
      <w:r w:rsidRPr="00375C77">
        <w:rPr>
          <w:rFonts w:cstheme="minorHAnsi"/>
          <w:sz w:val="22"/>
          <w:szCs w:val="24"/>
        </w:rPr>
        <w:t>Water-efficient fixtures and appliances would be required to be installed by builders for all new properties joining the current water system. This water conservation measure is intended to ensure that all new customers use less water from the time uses are implemented on a property. According to the District’s CWP, this measure reduces the bills of these new customers, reduces the growth in demand for CMD, and allows CMD to focus its efforts and funds on other conservation measures.</w:t>
      </w:r>
    </w:p>
    <w:p w14:paraId="309B1E45" w14:textId="77777777" w:rsidR="00B96EA2" w:rsidRPr="00375C77" w:rsidRDefault="00B96EA2" w:rsidP="005C50FD">
      <w:pPr>
        <w:spacing w:after="0" w:line="240" w:lineRule="auto"/>
        <w:rPr>
          <w:rFonts w:eastAsia="Times New Roman" w:cstheme="minorHAnsi"/>
          <w:b/>
          <w:bCs/>
          <w:sz w:val="24"/>
          <w:szCs w:val="24"/>
        </w:rPr>
      </w:pPr>
      <w:r w:rsidRPr="00375C77">
        <w:rPr>
          <w:rFonts w:eastAsia="Times New Roman" w:cstheme="minorHAnsi"/>
          <w:b/>
          <w:bCs/>
          <w:sz w:val="24"/>
          <w:szCs w:val="24"/>
        </w:rPr>
        <w:tab/>
      </w:r>
    </w:p>
    <w:p w14:paraId="0751B0B5" w14:textId="10FF638F" w:rsidR="005C50FD" w:rsidRPr="00375C77" w:rsidRDefault="00B96EA2" w:rsidP="00B96EA2">
      <w:pPr>
        <w:spacing w:after="0" w:line="240" w:lineRule="auto"/>
        <w:ind w:firstLine="720"/>
        <w:rPr>
          <w:rFonts w:eastAsia="Times New Roman" w:cstheme="minorHAnsi"/>
          <w:b/>
          <w:bCs/>
          <w:sz w:val="22"/>
        </w:rPr>
      </w:pPr>
      <w:r w:rsidRPr="00375C77">
        <w:rPr>
          <w:rFonts w:eastAsia="Times New Roman" w:cstheme="minorHAnsi"/>
          <w:b/>
          <w:bCs/>
          <w:sz w:val="22"/>
        </w:rPr>
        <w:t>POLICY PLAN CONSIDERATIONS:</w:t>
      </w:r>
    </w:p>
    <w:p w14:paraId="63F4B930" w14:textId="22B7255A" w:rsidR="005C50FD" w:rsidRPr="00375C77" w:rsidRDefault="005C50FD" w:rsidP="005C50FD">
      <w:pPr>
        <w:spacing w:after="0" w:line="240" w:lineRule="auto"/>
        <w:ind w:left="720"/>
        <w:rPr>
          <w:rFonts w:eastAsia="Times New Roman" w:cstheme="minorHAnsi"/>
          <w:sz w:val="22"/>
        </w:rPr>
      </w:pPr>
      <w:r w:rsidRPr="00375C77">
        <w:rPr>
          <w:rFonts w:eastAsia="Times New Roman" w:cstheme="minorHAnsi"/>
          <w:sz w:val="22"/>
        </w:rPr>
        <w:t xml:space="preserve">The area is not within the boundaries of any small area comprehensive plan. However, the El Paso County Policy Plan is cited as guidance for broader land use issues surrounding the proposed development: </w:t>
      </w:r>
    </w:p>
    <w:p w14:paraId="6720AA4F" w14:textId="77777777" w:rsidR="000D1497" w:rsidRPr="00375C77" w:rsidRDefault="000D1497" w:rsidP="005C50FD">
      <w:pPr>
        <w:spacing w:after="0" w:line="240" w:lineRule="auto"/>
        <w:ind w:left="720"/>
        <w:rPr>
          <w:rFonts w:eastAsia="Times New Roman" w:cstheme="minorHAnsi"/>
          <w:sz w:val="22"/>
        </w:rPr>
      </w:pPr>
    </w:p>
    <w:p w14:paraId="3E71516F" w14:textId="77777777" w:rsidR="005C50FD" w:rsidRPr="00375C77" w:rsidRDefault="005C50FD" w:rsidP="005C50FD">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6.1.1 - Allow for a balance of mutually supporting interdependent land uses, including employment, housing and services in the more urban and urbanizing areas of the County.</w:t>
      </w:r>
    </w:p>
    <w:p w14:paraId="4A63B36C" w14:textId="23885DC3"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 xml:space="preserve">The proposed </w:t>
      </w:r>
      <w:r w:rsidR="00413295" w:rsidRPr="00375C77">
        <w:rPr>
          <w:rFonts w:eastAsia="Times New Roman" w:cstheme="minorHAnsi"/>
          <w:sz w:val="22"/>
        </w:rPr>
        <w:t xml:space="preserve">rezone </w:t>
      </w:r>
      <w:r w:rsidR="00775A10" w:rsidRPr="00375C77">
        <w:rPr>
          <w:rFonts w:eastAsia="Times New Roman" w:cstheme="minorHAnsi"/>
          <w:sz w:val="22"/>
        </w:rPr>
        <w:t xml:space="preserve">provides opportunity to create a ±41.42 </w:t>
      </w:r>
      <w:r w:rsidR="00E35298" w:rsidRPr="00375C77">
        <w:rPr>
          <w:rFonts w:eastAsia="Times New Roman" w:cstheme="minorHAnsi"/>
          <w:sz w:val="22"/>
        </w:rPr>
        <w:t xml:space="preserve">regional scale infill commercial development </w:t>
      </w:r>
      <w:r w:rsidR="00775A10" w:rsidRPr="00375C77">
        <w:rPr>
          <w:rFonts w:eastAsia="Times New Roman" w:cstheme="minorHAnsi"/>
          <w:sz w:val="22"/>
        </w:rPr>
        <w:t xml:space="preserve">that </w:t>
      </w:r>
      <w:r w:rsidR="00E35298" w:rsidRPr="00375C77">
        <w:rPr>
          <w:rFonts w:eastAsia="Times New Roman" w:cstheme="minorHAnsi"/>
          <w:sz w:val="22"/>
        </w:rPr>
        <w:t xml:space="preserve">provides additional larger scale retail and employment opportunities from Powers eastward, Constitution Southward, and the region supported by Highways 24 and 94 </w:t>
      </w:r>
      <w:r w:rsidR="00ED1A81" w:rsidRPr="00375C77">
        <w:rPr>
          <w:rFonts w:eastAsia="Times New Roman" w:cstheme="minorHAnsi"/>
          <w:sz w:val="22"/>
        </w:rPr>
        <w:t>eastwards</w:t>
      </w:r>
      <w:r w:rsidR="00E35298" w:rsidRPr="00375C77">
        <w:rPr>
          <w:rFonts w:eastAsia="Times New Roman" w:cstheme="minorHAnsi"/>
          <w:sz w:val="22"/>
        </w:rPr>
        <w:t xml:space="preserve">. </w:t>
      </w:r>
      <w:r w:rsidRPr="00375C77">
        <w:rPr>
          <w:rFonts w:eastAsia="Times New Roman" w:cstheme="minorHAnsi"/>
          <w:sz w:val="22"/>
        </w:rPr>
        <w:t xml:space="preserve">The proposed rezone will </w:t>
      </w:r>
      <w:r w:rsidR="00ED1A81" w:rsidRPr="00375C77">
        <w:rPr>
          <w:rFonts w:eastAsia="Times New Roman" w:cstheme="minorHAnsi"/>
          <w:sz w:val="22"/>
        </w:rPr>
        <w:t xml:space="preserve">provide additional retail, employment, and entertainment choices for nearby residents, workers, and regional consumers. </w:t>
      </w:r>
      <w:r w:rsidRPr="00375C77">
        <w:rPr>
          <w:rFonts w:eastAsia="Times New Roman" w:cstheme="minorHAnsi"/>
          <w:sz w:val="22"/>
        </w:rPr>
        <w:t xml:space="preserve"> </w:t>
      </w:r>
    </w:p>
    <w:p w14:paraId="5227542E" w14:textId="77777777" w:rsidR="005C50FD" w:rsidRPr="00375C77" w:rsidRDefault="005C50FD" w:rsidP="005C50FD">
      <w:pPr>
        <w:spacing w:after="0" w:line="240" w:lineRule="auto"/>
        <w:ind w:left="1080"/>
        <w:rPr>
          <w:rFonts w:eastAsia="Times New Roman" w:cstheme="minorHAnsi"/>
          <w:sz w:val="22"/>
        </w:rPr>
      </w:pPr>
    </w:p>
    <w:p w14:paraId="70456B84" w14:textId="77777777" w:rsidR="005C50FD" w:rsidRPr="00375C77" w:rsidRDefault="005C50FD" w:rsidP="005C50FD">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6.1.2 - Discourage the location of small discontiguous land development projects where these might not develop the critical land area and density necessary to be effectively provided with services or remain viable in the face of competing land uses.</w:t>
      </w:r>
    </w:p>
    <w:p w14:paraId="323A9D31" w14:textId="69396B80"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 xml:space="preserve">The proposed </w:t>
      </w:r>
      <w:r w:rsidR="00ED1A81" w:rsidRPr="00375C77">
        <w:rPr>
          <w:rFonts w:eastAsia="Times New Roman" w:cstheme="minorHAnsi"/>
          <w:sz w:val="22"/>
        </w:rPr>
        <w:t>rezone is necessary to create a larger ±41.42 parcel under the CR zoning for a proposed commercial</w:t>
      </w:r>
      <w:r w:rsidRPr="00375C77">
        <w:rPr>
          <w:rFonts w:eastAsia="Times New Roman" w:cstheme="minorHAnsi"/>
          <w:sz w:val="22"/>
        </w:rPr>
        <w:t xml:space="preserve"> infill development</w:t>
      </w:r>
      <w:r w:rsidR="00ED1A81" w:rsidRPr="00375C77">
        <w:rPr>
          <w:rFonts w:eastAsia="Times New Roman" w:cstheme="minorHAnsi"/>
          <w:sz w:val="22"/>
        </w:rPr>
        <w:t xml:space="preserve">. Approval of the rezoning will enable the assembly of the critical land area and density to effectively and efficiently provide necessary services. </w:t>
      </w:r>
      <w:r w:rsidRPr="00375C77">
        <w:rPr>
          <w:rFonts w:eastAsia="Times New Roman" w:cstheme="minorHAnsi"/>
          <w:sz w:val="22"/>
        </w:rPr>
        <w:t xml:space="preserve"> </w:t>
      </w:r>
    </w:p>
    <w:p w14:paraId="5ADDEEFB" w14:textId="0F25F917" w:rsidR="00A96977" w:rsidRPr="00375C77" w:rsidRDefault="00A96977" w:rsidP="005C50FD">
      <w:pPr>
        <w:pStyle w:val="ListParagraph"/>
        <w:spacing w:after="0" w:line="240" w:lineRule="auto"/>
        <w:ind w:left="1080"/>
        <w:rPr>
          <w:rFonts w:eastAsia="Times New Roman" w:cstheme="minorHAnsi"/>
          <w:sz w:val="22"/>
        </w:rPr>
      </w:pPr>
    </w:p>
    <w:p w14:paraId="6F5C3925" w14:textId="77777777" w:rsidR="00A96977" w:rsidRPr="00375C77" w:rsidRDefault="00A96977" w:rsidP="002B5D4B">
      <w:pPr>
        <w:pStyle w:val="ListParagraph"/>
        <w:spacing w:after="0" w:line="240" w:lineRule="auto"/>
        <w:ind w:left="1080"/>
        <w:rPr>
          <w:rFonts w:eastAsia="Times New Roman" w:cstheme="minorHAnsi"/>
          <w:sz w:val="22"/>
        </w:rPr>
      </w:pPr>
      <w:r w:rsidRPr="00375C77">
        <w:rPr>
          <w:rFonts w:eastAsia="Times New Roman" w:cstheme="minorHAnsi"/>
          <w:sz w:val="22"/>
        </w:rPr>
        <w:t>Roadways, utilities, drainage, etc. will be constructed in the most optimal and efficient manner as necessary to facilitate development construction and sequencing. Utilities for be coordinated with the associated districts and providers as required.</w:t>
      </w:r>
    </w:p>
    <w:p w14:paraId="25BB0138" w14:textId="77777777" w:rsidR="005C50FD" w:rsidRPr="00375C77" w:rsidRDefault="005C50FD" w:rsidP="005C50FD">
      <w:pPr>
        <w:spacing w:after="0" w:line="240" w:lineRule="auto"/>
        <w:rPr>
          <w:rFonts w:eastAsia="Times New Roman" w:cstheme="minorHAnsi"/>
          <w:color w:val="BFBFBF" w:themeColor="background1" w:themeShade="BF"/>
          <w:sz w:val="22"/>
        </w:rPr>
      </w:pPr>
    </w:p>
    <w:p w14:paraId="122A8C6D" w14:textId="77777777" w:rsidR="005C50FD" w:rsidRPr="00375C77" w:rsidRDefault="005C50FD" w:rsidP="005C50FD">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lastRenderedPageBreak/>
        <w:t>Policy 6.1.3 - Encourage new development which is contiguous and compatible with previously developed areas in terms of factors such as density, land use and access.</w:t>
      </w:r>
    </w:p>
    <w:p w14:paraId="0559E53A" w14:textId="77B8F14F"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 xml:space="preserve">The proposed </w:t>
      </w:r>
      <w:r w:rsidR="00ED1A81" w:rsidRPr="00375C77">
        <w:rPr>
          <w:rFonts w:eastAsia="Times New Roman" w:cstheme="minorHAnsi"/>
          <w:sz w:val="22"/>
        </w:rPr>
        <w:t xml:space="preserve">CR </w:t>
      </w:r>
      <w:r w:rsidRPr="00375C77">
        <w:rPr>
          <w:rFonts w:eastAsia="Times New Roman" w:cstheme="minorHAnsi"/>
          <w:sz w:val="22"/>
        </w:rPr>
        <w:t xml:space="preserve">zoning and land uses are consistent with the </w:t>
      </w:r>
      <w:r w:rsidR="00ED1A81" w:rsidRPr="00375C77">
        <w:rPr>
          <w:rFonts w:eastAsia="Times New Roman" w:cstheme="minorHAnsi"/>
          <w:sz w:val="22"/>
        </w:rPr>
        <w:t xml:space="preserve">existing adjacent CR zoned properties under the </w:t>
      </w:r>
      <w:r w:rsidR="00890463" w:rsidRPr="00375C77">
        <w:rPr>
          <w:rFonts w:eastAsia="Times New Roman" w:cstheme="minorHAnsi"/>
          <w:sz w:val="22"/>
        </w:rPr>
        <w:t>applicant’s</w:t>
      </w:r>
      <w:r w:rsidR="00ED1A81" w:rsidRPr="00375C77">
        <w:rPr>
          <w:rFonts w:eastAsia="Times New Roman" w:cstheme="minorHAnsi"/>
          <w:sz w:val="22"/>
        </w:rPr>
        <w:t xml:space="preserve"> ownership and CR properties </w:t>
      </w:r>
      <w:r w:rsidR="008244B2" w:rsidRPr="00375C77">
        <w:rPr>
          <w:rFonts w:eastAsia="Times New Roman" w:cstheme="minorHAnsi"/>
          <w:sz w:val="22"/>
        </w:rPr>
        <w:t>which are in various stages of development and redevelopment located on the opposite side of Highway 24. The</w:t>
      </w:r>
      <w:r w:rsidR="00890463" w:rsidRPr="00375C77">
        <w:rPr>
          <w:rFonts w:eastAsia="Times New Roman" w:cstheme="minorHAnsi"/>
          <w:sz w:val="22"/>
        </w:rPr>
        <w:t xml:space="preserve"> </w:t>
      </w:r>
      <w:r w:rsidR="008244B2" w:rsidRPr="00375C77">
        <w:rPr>
          <w:rFonts w:eastAsia="Times New Roman" w:cstheme="minorHAnsi"/>
          <w:sz w:val="22"/>
        </w:rPr>
        <w:t>Commercial zoning is also consistent and compatible with adjacent and nearby land uses and zoning in the area which include public utility</w:t>
      </w:r>
      <w:r w:rsidR="00A96977" w:rsidRPr="00375C77">
        <w:rPr>
          <w:rFonts w:eastAsia="Times New Roman" w:cstheme="minorHAnsi"/>
          <w:sz w:val="22"/>
        </w:rPr>
        <w:t xml:space="preserve"> (water treatment facility)</w:t>
      </w:r>
      <w:r w:rsidR="008244B2" w:rsidRPr="00375C77">
        <w:rPr>
          <w:rFonts w:eastAsia="Times New Roman" w:cstheme="minorHAnsi"/>
          <w:sz w:val="22"/>
        </w:rPr>
        <w:t>, military</w:t>
      </w:r>
      <w:r w:rsidR="00A96977" w:rsidRPr="00375C77">
        <w:rPr>
          <w:rFonts w:eastAsia="Times New Roman" w:cstheme="minorHAnsi"/>
          <w:sz w:val="22"/>
        </w:rPr>
        <w:t xml:space="preserve"> installation (Peterson AFB), Colorado Springs Airport</w:t>
      </w:r>
      <w:r w:rsidR="008244B2" w:rsidRPr="00375C77">
        <w:rPr>
          <w:rFonts w:eastAsia="Times New Roman" w:cstheme="minorHAnsi"/>
          <w:sz w:val="22"/>
        </w:rPr>
        <w:t xml:space="preserve">, heavy industrial, light industrial, and residential land uses. </w:t>
      </w:r>
      <w:r w:rsidRPr="00375C77">
        <w:rPr>
          <w:rFonts w:eastAsia="Times New Roman" w:cstheme="minorHAnsi"/>
          <w:sz w:val="22"/>
        </w:rPr>
        <w:t xml:space="preserve"> </w:t>
      </w:r>
      <w:r w:rsidR="008244B2" w:rsidRPr="00375C77">
        <w:rPr>
          <w:rFonts w:eastAsia="Times New Roman" w:cstheme="minorHAnsi"/>
          <w:sz w:val="22"/>
        </w:rPr>
        <w:t xml:space="preserve">Access to the properties will be primarily from Air Lane to Marksheffel as prescribed in the Master TIS submitted in support of this application. Planned access will be consistent with the </w:t>
      </w:r>
      <w:r w:rsidR="00FB1484" w:rsidRPr="00375C77">
        <w:rPr>
          <w:rFonts w:eastAsia="Times New Roman" w:cstheme="minorHAnsi"/>
          <w:sz w:val="22"/>
        </w:rPr>
        <w:t>restrictions governing the adjacent major corridors as coordinated with the County and CDOT.</w:t>
      </w:r>
    </w:p>
    <w:p w14:paraId="64BB9B50" w14:textId="77777777" w:rsidR="005C50FD" w:rsidRPr="00375C77" w:rsidRDefault="005C50FD" w:rsidP="005C50FD">
      <w:pPr>
        <w:pStyle w:val="ListParagraph"/>
        <w:spacing w:after="0" w:line="240" w:lineRule="auto"/>
        <w:ind w:left="1080"/>
        <w:rPr>
          <w:rFonts w:eastAsia="Times New Roman" w:cstheme="minorHAnsi"/>
          <w:sz w:val="22"/>
        </w:rPr>
      </w:pPr>
    </w:p>
    <w:p w14:paraId="2B04A6F3" w14:textId="77777777"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Required zoning district, use to use, roadway, and use specific landscape buffers, setbacks, screening, open space, and/or landscape planting requirements will be identified on all preliminary plan and final plat maps and included in subdivision improvements and financial assurances as required by Code or Condition of Approval to mitigate any unique circumstance.</w:t>
      </w:r>
    </w:p>
    <w:p w14:paraId="4CEE4AD8" w14:textId="77777777" w:rsidR="005C50FD" w:rsidRPr="00375C77" w:rsidRDefault="005C50FD" w:rsidP="005C50FD">
      <w:pPr>
        <w:spacing w:after="0" w:line="240" w:lineRule="auto"/>
        <w:rPr>
          <w:rFonts w:eastAsia="Times New Roman" w:cstheme="minorHAnsi"/>
          <w:sz w:val="22"/>
        </w:rPr>
      </w:pPr>
    </w:p>
    <w:p w14:paraId="6CBA2219" w14:textId="77777777" w:rsidR="005C50FD" w:rsidRPr="00375C77" w:rsidRDefault="005C50FD" w:rsidP="005C50FD">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6.1.4 - Encourage the logical timing and phasing of development to allow for the efficient and economical provision of facilities and services.</w:t>
      </w:r>
    </w:p>
    <w:p w14:paraId="3BBB0CEC" w14:textId="3CE97728"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Necessary urban services are currently available to meet the use demands of the proposed mixed-use development, specifically the multifamily service demands. The subdivision review will identify system or service deficiencies as well as clarify specific development demands of which the service providers will express respective needs in order to meet projected demands.</w:t>
      </w:r>
    </w:p>
    <w:p w14:paraId="638D12C5" w14:textId="3615F638" w:rsidR="00B52FAF" w:rsidRPr="00375C77" w:rsidRDefault="00B52FAF" w:rsidP="005C50FD">
      <w:pPr>
        <w:pStyle w:val="ListParagraph"/>
        <w:spacing w:after="0" w:line="240" w:lineRule="auto"/>
        <w:ind w:left="1080"/>
        <w:rPr>
          <w:rFonts w:eastAsia="Times New Roman" w:cstheme="minorHAnsi"/>
          <w:sz w:val="22"/>
        </w:rPr>
      </w:pPr>
    </w:p>
    <w:p w14:paraId="1D8A806D" w14:textId="2389FC6B" w:rsidR="00B52FAF" w:rsidRPr="00375C77" w:rsidRDefault="00B52FAF" w:rsidP="00B52FAF">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6.1.5 - Support the development of well-planned </w:t>
      </w:r>
      <w:hyperlink r:id="rId15" w:anchor="anchor201789" w:history="1">
        <w:r w:rsidRPr="00375C77">
          <w:rPr>
            <w:rFonts w:eastAsia="Times New Roman" w:cstheme="minorHAnsi"/>
            <w:b/>
            <w:bCs/>
            <w:sz w:val="22"/>
          </w:rPr>
          <w:t>mixed use</w:t>
        </w:r>
      </w:hyperlink>
      <w:r w:rsidRPr="00375C77">
        <w:rPr>
          <w:rFonts w:eastAsia="Times New Roman" w:cstheme="minorHAnsi"/>
          <w:b/>
          <w:bCs/>
          <w:sz w:val="22"/>
        </w:rPr>
        <w:t> projects which promote all, or most, of the following objectives:</w:t>
      </w:r>
    </w:p>
    <w:p w14:paraId="656D9A4E" w14:textId="77777777" w:rsidR="00B52FAF" w:rsidRPr="00375C77" w:rsidRDefault="00B52FAF" w:rsidP="000D1497">
      <w:pPr>
        <w:numPr>
          <w:ilvl w:val="0"/>
          <w:numId w:val="48"/>
        </w:numPr>
        <w:shd w:val="clear" w:color="auto" w:fill="FFFFFF"/>
        <w:spacing w:after="0" w:line="240" w:lineRule="auto"/>
        <w:ind w:left="1800"/>
        <w:rPr>
          <w:rFonts w:cstheme="minorHAnsi"/>
          <w:b/>
          <w:bCs/>
          <w:color w:val="000000"/>
          <w:sz w:val="27"/>
          <w:szCs w:val="27"/>
        </w:rPr>
      </w:pPr>
      <w:r w:rsidRPr="00375C77">
        <w:rPr>
          <w:rFonts w:cstheme="minorHAnsi"/>
          <w:b/>
          <w:bCs/>
          <w:color w:val="000000"/>
          <w:szCs w:val="20"/>
        </w:rPr>
        <w:t>maximize the economy and efficiency of land use</w:t>
      </w:r>
    </w:p>
    <w:p w14:paraId="38C591D4" w14:textId="77777777" w:rsidR="00B52FAF" w:rsidRPr="00375C77" w:rsidRDefault="00B52FAF" w:rsidP="000D1497">
      <w:pPr>
        <w:numPr>
          <w:ilvl w:val="0"/>
          <w:numId w:val="48"/>
        </w:numPr>
        <w:shd w:val="clear" w:color="auto" w:fill="FFFFFF"/>
        <w:spacing w:after="0" w:line="240" w:lineRule="auto"/>
        <w:ind w:left="1800"/>
        <w:rPr>
          <w:rFonts w:cstheme="minorHAnsi"/>
          <w:b/>
          <w:bCs/>
          <w:color w:val="000000"/>
          <w:sz w:val="27"/>
          <w:szCs w:val="27"/>
        </w:rPr>
      </w:pPr>
      <w:r w:rsidRPr="00375C77">
        <w:rPr>
          <w:rFonts w:cstheme="minorHAnsi"/>
          <w:b/>
          <w:bCs/>
          <w:color w:val="000000"/>
          <w:szCs w:val="20"/>
        </w:rPr>
        <w:t>preserve open space or natural areas</w:t>
      </w:r>
    </w:p>
    <w:p w14:paraId="0E7856A6" w14:textId="77777777" w:rsidR="00B52FAF" w:rsidRPr="00375C77" w:rsidRDefault="00B52FAF" w:rsidP="000D1497">
      <w:pPr>
        <w:numPr>
          <w:ilvl w:val="0"/>
          <w:numId w:val="48"/>
        </w:numPr>
        <w:shd w:val="clear" w:color="auto" w:fill="FFFFFF"/>
        <w:spacing w:after="0" w:line="240" w:lineRule="auto"/>
        <w:ind w:left="1800"/>
        <w:rPr>
          <w:rFonts w:cstheme="minorHAnsi"/>
          <w:b/>
          <w:bCs/>
          <w:color w:val="000000"/>
          <w:sz w:val="27"/>
          <w:szCs w:val="27"/>
        </w:rPr>
      </w:pPr>
      <w:r w:rsidRPr="00375C77">
        <w:rPr>
          <w:rFonts w:cstheme="minorHAnsi"/>
          <w:b/>
          <w:bCs/>
          <w:color w:val="000000"/>
          <w:szCs w:val="20"/>
        </w:rPr>
        <w:t>integrate employment, housing, shopping, schools and other use</w:t>
      </w:r>
    </w:p>
    <w:p w14:paraId="39A0CF9C" w14:textId="77777777" w:rsidR="00B52FAF" w:rsidRPr="00375C77" w:rsidRDefault="00B52FAF" w:rsidP="000D1497">
      <w:pPr>
        <w:numPr>
          <w:ilvl w:val="0"/>
          <w:numId w:val="48"/>
        </w:numPr>
        <w:shd w:val="clear" w:color="auto" w:fill="FFFFFF"/>
        <w:spacing w:after="0" w:line="240" w:lineRule="auto"/>
        <w:ind w:left="1800"/>
        <w:rPr>
          <w:rFonts w:cstheme="minorHAnsi"/>
          <w:b/>
          <w:bCs/>
          <w:color w:val="000000"/>
          <w:sz w:val="27"/>
          <w:szCs w:val="27"/>
        </w:rPr>
      </w:pPr>
      <w:r w:rsidRPr="00375C77">
        <w:rPr>
          <w:rFonts w:cstheme="minorHAnsi"/>
          <w:b/>
          <w:bCs/>
          <w:color w:val="000000"/>
          <w:szCs w:val="20"/>
        </w:rPr>
        <w:t>accommodate multi-modal transportation linkages</w:t>
      </w:r>
    </w:p>
    <w:p w14:paraId="69495B14" w14:textId="2E741CBC" w:rsidR="00B52FAF" w:rsidRPr="00375C77" w:rsidRDefault="00B52FAF" w:rsidP="000D1497">
      <w:pPr>
        <w:numPr>
          <w:ilvl w:val="0"/>
          <w:numId w:val="48"/>
        </w:numPr>
        <w:shd w:val="clear" w:color="auto" w:fill="FFFFFF"/>
        <w:spacing w:after="0" w:line="240" w:lineRule="auto"/>
        <w:ind w:left="1800"/>
        <w:rPr>
          <w:rFonts w:cstheme="minorHAnsi"/>
          <w:b/>
          <w:bCs/>
          <w:color w:val="000000"/>
          <w:sz w:val="27"/>
          <w:szCs w:val="27"/>
        </w:rPr>
      </w:pPr>
      <w:r w:rsidRPr="00375C77">
        <w:rPr>
          <w:rFonts w:cstheme="minorHAnsi"/>
          <w:b/>
          <w:bCs/>
          <w:color w:val="000000"/>
          <w:szCs w:val="20"/>
        </w:rPr>
        <w:t>allow for variations in design and character</w:t>
      </w:r>
    </w:p>
    <w:p w14:paraId="377F215A" w14:textId="0551750C" w:rsidR="00B52FAF" w:rsidRPr="00375C77" w:rsidRDefault="007C6411" w:rsidP="007C6411">
      <w:pPr>
        <w:pStyle w:val="ListParagraph"/>
        <w:spacing w:after="0" w:line="240" w:lineRule="auto"/>
        <w:ind w:left="1080"/>
        <w:rPr>
          <w:rFonts w:eastAsia="Times New Roman" w:cstheme="minorHAnsi"/>
          <w:sz w:val="22"/>
        </w:rPr>
      </w:pPr>
      <w:r w:rsidRPr="00375C77">
        <w:rPr>
          <w:rFonts w:eastAsia="Times New Roman" w:cstheme="minorHAnsi"/>
          <w:sz w:val="22"/>
        </w:rPr>
        <w:t>T</w:t>
      </w:r>
      <w:r w:rsidR="00B52FAF" w:rsidRPr="00375C77">
        <w:rPr>
          <w:rFonts w:eastAsia="Times New Roman" w:cstheme="minorHAnsi"/>
          <w:sz w:val="22"/>
        </w:rPr>
        <w:t>he consolidation of the parcels under a single ownership and within the same CR zoning district allows for the maximization of economies and efficiencies of land use through the singular provision of urban services as well as supporting infrastructure which would not be as feasible under single disjointed and piecemealed development.</w:t>
      </w:r>
      <w:r w:rsidRPr="00375C77">
        <w:rPr>
          <w:rFonts w:eastAsia="Times New Roman" w:cstheme="minorHAnsi"/>
          <w:sz w:val="22"/>
        </w:rPr>
        <w:t xml:space="preserve"> Coordination is ongoing with the City of Colorado Springs and Mountain Metro for a transit hub/link on City owned property on the south side of Air Lane. The site will ultimately be accessible via vehicular, pedestrian, non-motorized/bicycle, and public transportation modes.</w:t>
      </w:r>
    </w:p>
    <w:p w14:paraId="11EB8CAF" w14:textId="77777777" w:rsidR="005C50FD" w:rsidRPr="00375C77" w:rsidRDefault="005C50FD" w:rsidP="005C50FD">
      <w:pPr>
        <w:pStyle w:val="ListParagraph"/>
        <w:spacing w:after="0" w:line="240" w:lineRule="auto"/>
        <w:ind w:left="1080"/>
        <w:rPr>
          <w:rFonts w:eastAsia="Times New Roman" w:cstheme="minorHAnsi"/>
          <w:sz w:val="22"/>
        </w:rPr>
      </w:pPr>
    </w:p>
    <w:p w14:paraId="712B5E90" w14:textId="77777777" w:rsidR="005C50FD" w:rsidRPr="00375C77" w:rsidRDefault="005C50FD" w:rsidP="005C50FD">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lastRenderedPageBreak/>
        <w:t>Policy 6.1.6 - Direct development toward areas where the necessary urban-level supporting facilities and services are available or will be developed concurrently.</w:t>
      </w:r>
    </w:p>
    <w:p w14:paraId="27D7A769" w14:textId="64EC51FB" w:rsidR="005C50FD" w:rsidRPr="00375C77" w:rsidRDefault="005C50FD" w:rsidP="005C50FD">
      <w:pPr>
        <w:pStyle w:val="ListParagraph"/>
        <w:spacing w:after="0" w:line="240" w:lineRule="auto"/>
        <w:ind w:left="1080"/>
        <w:rPr>
          <w:rFonts w:eastAsia="Times New Roman" w:cstheme="minorHAnsi"/>
          <w:sz w:val="22"/>
        </w:rPr>
      </w:pPr>
      <w:r w:rsidRPr="00375C77">
        <w:rPr>
          <w:rFonts w:eastAsia="Times New Roman" w:cstheme="minorHAnsi"/>
          <w:sz w:val="22"/>
        </w:rPr>
        <w:t>Necessary urban level services including, but not limited to water/sewer, stormwater, electric, natural gas, police, fire and EMS, schools, parks and open spaces, and other public facilities and services are currently delivered to residential, commercial, and light industrial properties adjacent to this proposed development. Subsequent subdivision applications will provide detailed reports and plans regarding service availability and delivery infrastructure.</w:t>
      </w:r>
    </w:p>
    <w:p w14:paraId="5911F422" w14:textId="77777777" w:rsidR="000D1497" w:rsidRPr="00375C77" w:rsidRDefault="000D1497" w:rsidP="005C50FD">
      <w:pPr>
        <w:pStyle w:val="ListParagraph"/>
        <w:spacing w:after="0" w:line="240" w:lineRule="auto"/>
        <w:ind w:left="1080"/>
        <w:rPr>
          <w:rFonts w:eastAsia="Times New Roman" w:cstheme="minorHAnsi"/>
          <w:sz w:val="22"/>
        </w:rPr>
      </w:pPr>
    </w:p>
    <w:p w14:paraId="03CF8067" w14:textId="103698EC" w:rsidR="00E60233" w:rsidRPr="00375C77" w:rsidRDefault="00E60233" w:rsidP="00E60233">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6.1.11 – Plan and implement land development so that it will be functionally and aesthetically integrated within the context of adjoining properties and uses.</w:t>
      </w:r>
    </w:p>
    <w:p w14:paraId="173E2C9B" w14:textId="4D9182A6" w:rsidR="005C50FD" w:rsidRPr="00375C77" w:rsidRDefault="00E60233" w:rsidP="005C50FD">
      <w:pPr>
        <w:pStyle w:val="ListParagraph"/>
        <w:spacing w:after="0" w:line="240" w:lineRule="auto"/>
        <w:ind w:left="1080"/>
        <w:rPr>
          <w:rFonts w:eastAsia="Times New Roman" w:cstheme="minorHAnsi"/>
          <w:sz w:val="22"/>
        </w:rPr>
      </w:pPr>
      <w:r w:rsidRPr="00375C77">
        <w:rPr>
          <w:rFonts w:eastAsia="Times New Roman" w:cstheme="minorHAnsi"/>
          <w:sz w:val="22"/>
        </w:rPr>
        <w:t>The functionality of the site with respect to access, design, and building orientation will be consistent with and compatible with existing conditions such as location and massing of buildings relative to adjacent rights of way and view corridors, site design which respects the location as a County/City gateway</w:t>
      </w:r>
      <w:r w:rsidR="00B52FAF" w:rsidRPr="00375C77">
        <w:rPr>
          <w:rFonts w:eastAsia="Times New Roman" w:cstheme="minorHAnsi"/>
          <w:sz w:val="22"/>
        </w:rPr>
        <w:t>, as well as enhancing the overall visual character attractiveness of the area through contemporary building facades and private architectural design standards.</w:t>
      </w:r>
    </w:p>
    <w:p w14:paraId="624DFCE9" w14:textId="77777777" w:rsidR="000D1497" w:rsidRPr="00375C77" w:rsidRDefault="000D1497" w:rsidP="005C50FD">
      <w:pPr>
        <w:pStyle w:val="ListParagraph"/>
        <w:spacing w:after="0" w:line="240" w:lineRule="auto"/>
        <w:ind w:left="1080"/>
        <w:rPr>
          <w:rFonts w:eastAsia="Times New Roman" w:cstheme="minorHAnsi"/>
          <w:sz w:val="22"/>
        </w:rPr>
      </w:pPr>
    </w:p>
    <w:p w14:paraId="7C5AA7EF" w14:textId="2DF19747" w:rsidR="00B52FAF" w:rsidRPr="00375C77" w:rsidRDefault="007C6411" w:rsidP="007C6411">
      <w:pPr>
        <w:pStyle w:val="ListParagraph"/>
        <w:numPr>
          <w:ilvl w:val="2"/>
          <w:numId w:val="42"/>
        </w:numPr>
        <w:spacing w:after="0" w:line="240" w:lineRule="auto"/>
        <w:ind w:left="1080"/>
        <w:rPr>
          <w:rFonts w:eastAsia="Times New Roman" w:cstheme="minorHAnsi"/>
          <w:b/>
          <w:bCs/>
          <w:sz w:val="22"/>
        </w:rPr>
      </w:pPr>
      <w:r w:rsidRPr="00375C77">
        <w:rPr>
          <w:rFonts w:eastAsia="Times New Roman" w:cstheme="minorHAnsi"/>
          <w:b/>
          <w:bCs/>
          <w:sz w:val="22"/>
        </w:rPr>
        <w:t>Policy 10.1.2 - Carefully consider the impacts that proposed new developments will have on the viability of existing and proposed water and wastewater systems.</w:t>
      </w:r>
    </w:p>
    <w:p w14:paraId="28454E38" w14:textId="719B0F46" w:rsidR="007C6411" w:rsidRPr="00375C77" w:rsidRDefault="00893CF3" w:rsidP="007C6411">
      <w:pPr>
        <w:pStyle w:val="ListParagraph"/>
        <w:spacing w:after="0" w:line="240" w:lineRule="auto"/>
        <w:ind w:left="1080"/>
        <w:rPr>
          <w:rFonts w:eastAsia="Times New Roman" w:cstheme="minorHAnsi"/>
          <w:sz w:val="22"/>
        </w:rPr>
      </w:pPr>
      <w:r w:rsidRPr="00375C77">
        <w:rPr>
          <w:rFonts w:eastAsia="Times New Roman" w:cstheme="minorHAnsi"/>
          <w:sz w:val="22"/>
        </w:rPr>
        <w:t>Water and wastewater services for properties within the rezone will be provided by</w:t>
      </w:r>
      <w:r w:rsidR="007C6411" w:rsidRPr="00375C77">
        <w:rPr>
          <w:rFonts w:eastAsia="Times New Roman" w:cstheme="minorHAnsi"/>
          <w:sz w:val="22"/>
        </w:rPr>
        <w:t xml:space="preserve"> Cherokee Metropolitan District Service</w:t>
      </w:r>
      <w:r w:rsidRPr="00375C77">
        <w:rPr>
          <w:rFonts w:eastAsia="Times New Roman" w:cstheme="minorHAnsi"/>
          <w:sz w:val="22"/>
        </w:rPr>
        <w:t xml:space="preserve">. Delivery of the utility requires extension of required infrastructure from the north side of US 24 under the highway to the development properties. The Meadowbrook Crossing Metropolitan District, Applicant, and Cherokee have been coordinating necessary </w:t>
      </w:r>
      <w:r w:rsidR="000D1497" w:rsidRPr="00375C77">
        <w:rPr>
          <w:rFonts w:eastAsia="Times New Roman" w:cstheme="minorHAnsi"/>
          <w:sz w:val="22"/>
        </w:rPr>
        <w:t>activities which will be reflected in and on associated reports and plans submitted with future subdivision applications.</w:t>
      </w:r>
      <w:r w:rsidRPr="00375C77">
        <w:rPr>
          <w:rFonts w:eastAsia="Times New Roman" w:cstheme="minorHAnsi"/>
          <w:sz w:val="22"/>
        </w:rPr>
        <w:t xml:space="preserve"> </w:t>
      </w:r>
      <w:r w:rsidR="007C6411" w:rsidRPr="00375C77">
        <w:rPr>
          <w:rFonts w:eastAsia="Times New Roman" w:cstheme="minorHAnsi"/>
          <w:sz w:val="22"/>
        </w:rPr>
        <w:t xml:space="preserve"> </w:t>
      </w:r>
    </w:p>
    <w:p w14:paraId="64A5F414" w14:textId="77777777" w:rsidR="000D1497" w:rsidRPr="00375C77" w:rsidRDefault="000D1497" w:rsidP="007C6411">
      <w:pPr>
        <w:pStyle w:val="ListParagraph"/>
        <w:spacing w:after="0" w:line="240" w:lineRule="auto"/>
        <w:ind w:left="1080"/>
        <w:rPr>
          <w:rFonts w:eastAsia="Times New Roman" w:cstheme="minorHAnsi"/>
          <w:sz w:val="22"/>
        </w:rPr>
      </w:pPr>
    </w:p>
    <w:p w14:paraId="4741F865" w14:textId="77777777" w:rsidR="005C50FD" w:rsidRPr="00375C77" w:rsidRDefault="005C50FD" w:rsidP="005C50FD">
      <w:pPr>
        <w:pStyle w:val="ListParagraph"/>
        <w:numPr>
          <w:ilvl w:val="0"/>
          <w:numId w:val="47"/>
        </w:numPr>
        <w:spacing w:after="0" w:line="240" w:lineRule="auto"/>
        <w:rPr>
          <w:rFonts w:eastAsia="Times New Roman" w:cstheme="minorHAnsi"/>
          <w:b/>
          <w:bCs/>
          <w:sz w:val="22"/>
        </w:rPr>
      </w:pPr>
      <w:r w:rsidRPr="00375C77">
        <w:rPr>
          <w:rFonts w:eastAsia="Times New Roman" w:cstheme="minorHAnsi"/>
          <w:b/>
          <w:bCs/>
          <w:sz w:val="22"/>
        </w:rPr>
        <w:t xml:space="preserve">The rezoning </w:t>
      </w:r>
      <w:proofErr w:type="gramStart"/>
      <w:r w:rsidRPr="00375C77">
        <w:rPr>
          <w:rFonts w:eastAsia="Times New Roman" w:cstheme="minorHAnsi"/>
          <w:b/>
          <w:bCs/>
          <w:sz w:val="22"/>
        </w:rPr>
        <w:t>is in compliance with</w:t>
      </w:r>
      <w:proofErr w:type="gramEnd"/>
      <w:r w:rsidRPr="00375C77">
        <w:rPr>
          <w:rFonts w:eastAsia="Times New Roman" w:cstheme="minorHAnsi"/>
          <w:b/>
          <w:bCs/>
          <w:sz w:val="22"/>
        </w:rPr>
        <w:t xml:space="preserve"> all applicable statutory provisions, including but not limited to C.R.S. § 30-28-111 § 30-28-113, and § 30-28-116;</w:t>
      </w:r>
    </w:p>
    <w:p w14:paraId="48E31C79" w14:textId="77777777" w:rsidR="005C50FD" w:rsidRPr="00375C77" w:rsidRDefault="005C50FD" w:rsidP="005C50FD">
      <w:pPr>
        <w:spacing w:after="0" w:line="240" w:lineRule="auto"/>
        <w:ind w:left="720"/>
        <w:rPr>
          <w:rFonts w:eastAsia="Times New Roman" w:cstheme="minorHAnsi"/>
          <w:sz w:val="22"/>
        </w:rPr>
      </w:pPr>
      <w:r w:rsidRPr="00375C77">
        <w:rPr>
          <w:rFonts w:eastAsia="Times New Roman" w:cstheme="minorHAnsi"/>
          <w:sz w:val="22"/>
        </w:rPr>
        <w:t>The application has met all County submittal and procedural requirements for a rezone as either outlined or authorized by the referenced statutes.</w:t>
      </w:r>
    </w:p>
    <w:p w14:paraId="4BC8295F" w14:textId="77777777" w:rsidR="005C50FD" w:rsidRPr="00375C77" w:rsidRDefault="005C50FD" w:rsidP="005C50FD">
      <w:pPr>
        <w:spacing w:after="0" w:line="240" w:lineRule="auto"/>
        <w:rPr>
          <w:rFonts w:eastAsia="Times New Roman" w:cstheme="minorHAnsi"/>
          <w:b/>
          <w:bCs/>
          <w:sz w:val="22"/>
        </w:rPr>
      </w:pPr>
    </w:p>
    <w:p w14:paraId="58E7EC10" w14:textId="77777777" w:rsidR="005C50FD" w:rsidRPr="00375C77" w:rsidRDefault="005C50FD" w:rsidP="005C50FD">
      <w:pPr>
        <w:pStyle w:val="ListParagraph"/>
        <w:numPr>
          <w:ilvl w:val="0"/>
          <w:numId w:val="47"/>
        </w:numPr>
        <w:spacing w:after="0" w:line="240" w:lineRule="auto"/>
        <w:rPr>
          <w:rFonts w:eastAsia="Times New Roman" w:cstheme="minorHAnsi"/>
          <w:b/>
          <w:bCs/>
          <w:sz w:val="22"/>
        </w:rPr>
      </w:pPr>
      <w:r w:rsidRPr="00375C77">
        <w:rPr>
          <w:rFonts w:eastAsia="Times New Roman" w:cstheme="minorHAnsi"/>
          <w:b/>
          <w:bCs/>
          <w:sz w:val="22"/>
        </w:rPr>
        <w:t>The proposed land use or zone district is compatible with the existing and permitted land uses and zone districts in all directions; and</w:t>
      </w:r>
    </w:p>
    <w:p w14:paraId="545817C0" w14:textId="30CA8F3C" w:rsidR="005C50FD" w:rsidRPr="00375C77" w:rsidRDefault="005C50FD" w:rsidP="005C50FD">
      <w:pPr>
        <w:pStyle w:val="ListParagraph"/>
        <w:spacing w:after="0" w:line="240" w:lineRule="auto"/>
        <w:rPr>
          <w:rFonts w:eastAsia="Times New Roman" w:cstheme="minorHAnsi"/>
          <w:sz w:val="22"/>
        </w:rPr>
      </w:pPr>
      <w:r w:rsidRPr="00375C77">
        <w:rPr>
          <w:rFonts w:eastAsia="Times New Roman" w:cstheme="minorHAnsi"/>
          <w:sz w:val="22"/>
        </w:rPr>
        <w:t xml:space="preserve">The </w:t>
      </w:r>
      <w:r w:rsidR="00FB1484" w:rsidRPr="00375C77">
        <w:rPr>
          <w:rFonts w:eastAsia="Times New Roman" w:cstheme="minorHAnsi"/>
          <w:sz w:val="22"/>
        </w:rPr>
        <w:t>proposed zone district is compatible with existing and permitted land uses and zoning districts in all directions</w:t>
      </w:r>
      <w:r w:rsidRPr="00375C77">
        <w:rPr>
          <w:rFonts w:eastAsia="Times New Roman" w:cstheme="minorHAnsi"/>
          <w:sz w:val="22"/>
        </w:rPr>
        <w:t>.</w:t>
      </w:r>
      <w:r w:rsidR="00FB1484" w:rsidRPr="00375C77">
        <w:rPr>
          <w:rFonts w:eastAsia="Times New Roman" w:cstheme="minorHAnsi"/>
          <w:sz w:val="22"/>
        </w:rPr>
        <w:t xml:space="preserve"> Approval of the rezone increases </w:t>
      </w:r>
      <w:r w:rsidR="000F63C9" w:rsidRPr="00375C77">
        <w:rPr>
          <w:rFonts w:eastAsia="Times New Roman" w:cstheme="minorHAnsi"/>
          <w:sz w:val="22"/>
        </w:rPr>
        <w:t xml:space="preserve">the compatibility of </w:t>
      </w:r>
      <w:r w:rsidR="00FB1484" w:rsidRPr="00375C77">
        <w:rPr>
          <w:rFonts w:eastAsia="Times New Roman" w:cstheme="minorHAnsi"/>
          <w:sz w:val="22"/>
        </w:rPr>
        <w:t>the existing CR zone from 16.24 AC to 41.42 AC</w:t>
      </w:r>
      <w:r w:rsidR="000F63C9" w:rsidRPr="00375C77">
        <w:rPr>
          <w:rFonts w:eastAsia="Times New Roman" w:cstheme="minorHAnsi"/>
          <w:sz w:val="22"/>
        </w:rPr>
        <w:t>. The unified 41,42 AC CR zone district is more compatible with existing and permitted land uses and zoning districts in all directions.</w:t>
      </w:r>
    </w:p>
    <w:p w14:paraId="5AA811AB" w14:textId="77777777" w:rsidR="00FB1484" w:rsidRPr="00375C77" w:rsidRDefault="00FB1484" w:rsidP="005C50FD">
      <w:pPr>
        <w:pStyle w:val="ListParagraph"/>
        <w:spacing w:after="0" w:line="240" w:lineRule="auto"/>
        <w:rPr>
          <w:rFonts w:eastAsia="Times New Roman" w:cstheme="minorHAnsi"/>
          <w:sz w:val="22"/>
        </w:rPr>
      </w:pPr>
    </w:p>
    <w:p w14:paraId="5DE4FA93" w14:textId="77777777" w:rsidR="005C50FD" w:rsidRPr="00375C77" w:rsidRDefault="005C50FD" w:rsidP="005C50FD">
      <w:pPr>
        <w:pStyle w:val="ListParagraph"/>
        <w:numPr>
          <w:ilvl w:val="0"/>
          <w:numId w:val="47"/>
        </w:numPr>
        <w:spacing w:after="0" w:line="240" w:lineRule="auto"/>
        <w:rPr>
          <w:rFonts w:eastAsia="Times New Roman" w:cstheme="minorHAnsi"/>
          <w:b/>
          <w:bCs/>
          <w:sz w:val="22"/>
        </w:rPr>
      </w:pPr>
      <w:r w:rsidRPr="00375C77">
        <w:rPr>
          <w:rFonts w:eastAsia="Times New Roman" w:cstheme="minorHAnsi"/>
          <w:b/>
          <w:bCs/>
          <w:sz w:val="22"/>
        </w:rPr>
        <w:lastRenderedPageBreak/>
        <w:t>The site is suitable for the intended use, including the ability to meet the standards as described in Chapter 5 of the Land Development Code, for the intended zone district.</w:t>
      </w:r>
    </w:p>
    <w:p w14:paraId="706394A2" w14:textId="2EF2E5B2" w:rsidR="00890463" w:rsidRPr="00375C77" w:rsidRDefault="005C50FD" w:rsidP="00890463">
      <w:pPr>
        <w:spacing w:after="0" w:line="240" w:lineRule="auto"/>
        <w:ind w:left="720"/>
        <w:rPr>
          <w:rFonts w:eastAsia="Times New Roman" w:cstheme="minorHAnsi"/>
          <w:sz w:val="22"/>
        </w:rPr>
      </w:pPr>
      <w:r w:rsidRPr="00375C77">
        <w:rPr>
          <w:rFonts w:eastAsia="Times New Roman" w:cstheme="minorHAnsi"/>
          <w:sz w:val="22"/>
        </w:rPr>
        <w:t xml:space="preserve">The site is suitable for the intended </w:t>
      </w:r>
      <w:r w:rsidR="000F63C9" w:rsidRPr="00375C77">
        <w:rPr>
          <w:rFonts w:eastAsia="Times New Roman" w:cstheme="minorHAnsi"/>
          <w:sz w:val="22"/>
        </w:rPr>
        <w:t xml:space="preserve">regional commercial uses which are a downzoning from the permitted uses under the current industrial zoning. </w:t>
      </w:r>
      <w:r w:rsidRPr="00375C77">
        <w:rPr>
          <w:rFonts w:eastAsia="Times New Roman" w:cstheme="minorHAnsi"/>
          <w:sz w:val="22"/>
        </w:rPr>
        <w:t xml:space="preserve"> use, including the ability to meet the standards as described in Chapter 5 of the County Code. General site suitability for development </w:t>
      </w:r>
      <w:r w:rsidR="000F63C9" w:rsidRPr="00375C77">
        <w:rPr>
          <w:rFonts w:eastAsia="Times New Roman" w:cstheme="minorHAnsi"/>
          <w:sz w:val="22"/>
        </w:rPr>
        <w:t xml:space="preserve">has been preliminarily </w:t>
      </w:r>
      <w:r w:rsidRPr="00375C77">
        <w:rPr>
          <w:rFonts w:eastAsia="Times New Roman" w:cstheme="minorHAnsi"/>
          <w:sz w:val="22"/>
        </w:rPr>
        <w:t xml:space="preserve">reviewed </w:t>
      </w:r>
      <w:r w:rsidR="000F63C9" w:rsidRPr="00375C77">
        <w:rPr>
          <w:rFonts w:eastAsia="Times New Roman" w:cstheme="minorHAnsi"/>
          <w:sz w:val="22"/>
        </w:rPr>
        <w:t xml:space="preserve">in preparation for required the preliminary plan submittal. </w:t>
      </w:r>
      <w:r w:rsidR="00890463" w:rsidRPr="00375C77">
        <w:rPr>
          <w:rFonts w:eastAsia="Times New Roman" w:cstheme="minorHAnsi"/>
          <w:sz w:val="22"/>
        </w:rPr>
        <w:t>Suitability of the site for development</w:t>
      </w:r>
      <w:r w:rsidRPr="00375C77">
        <w:rPr>
          <w:rFonts w:eastAsia="Times New Roman" w:cstheme="minorHAnsi"/>
          <w:sz w:val="22"/>
        </w:rPr>
        <w:t xml:space="preserve"> in terms of geology, service availability, unmitigable environmental impacts, major land use impacts, aviation overlay, and military adjacency considerations</w:t>
      </w:r>
      <w:r w:rsidR="00890463" w:rsidRPr="00375C77">
        <w:rPr>
          <w:rFonts w:eastAsia="Times New Roman" w:cstheme="minorHAnsi"/>
          <w:sz w:val="22"/>
        </w:rPr>
        <w:t xml:space="preserve"> will be documented with the preliminary plan</w:t>
      </w:r>
      <w:r w:rsidRPr="00375C77">
        <w:rPr>
          <w:rFonts w:eastAsia="Times New Roman" w:cstheme="minorHAnsi"/>
          <w:sz w:val="22"/>
        </w:rPr>
        <w:t xml:space="preserve">. </w:t>
      </w:r>
      <w:r w:rsidR="00890463" w:rsidRPr="00375C77">
        <w:rPr>
          <w:rFonts w:eastAsia="Times New Roman" w:cstheme="minorHAnsi"/>
          <w:sz w:val="22"/>
        </w:rPr>
        <w:t>The subdivision analysis of the site suitability will also include</w:t>
      </w:r>
      <w:r w:rsidRPr="00375C77">
        <w:rPr>
          <w:rFonts w:eastAsia="Times New Roman" w:cstheme="minorHAnsi"/>
          <w:sz w:val="22"/>
        </w:rPr>
        <w:t xml:space="preserve"> availability of public services such as: access &amp; transportation, stormwater, fire protection, utilities, water/sewer services, schools, parks and open spaces (via dedications as well as on site amenities where applicable)</w:t>
      </w:r>
      <w:r w:rsidR="00890463" w:rsidRPr="00375C77">
        <w:rPr>
          <w:rFonts w:eastAsia="Times New Roman" w:cstheme="minorHAnsi"/>
          <w:sz w:val="22"/>
        </w:rPr>
        <w:t>. These and other issues will be addressed in additional detail in response to subdivision, site development, and use and zoning district specific criteria.</w:t>
      </w:r>
    </w:p>
    <w:p w14:paraId="346DC0CE" w14:textId="0AA12648" w:rsidR="005C50FD" w:rsidRPr="00375C77" w:rsidRDefault="005C50FD" w:rsidP="005C50FD">
      <w:pPr>
        <w:spacing w:after="0" w:line="240" w:lineRule="auto"/>
        <w:ind w:left="720"/>
        <w:rPr>
          <w:rFonts w:eastAsia="Times New Roman" w:cstheme="minorHAnsi"/>
          <w:b/>
          <w:bCs/>
          <w:sz w:val="22"/>
        </w:rPr>
      </w:pPr>
    </w:p>
    <w:p w14:paraId="718A6BC9" w14:textId="77777777" w:rsidR="005C50FD" w:rsidRPr="00375C77" w:rsidRDefault="005C50FD" w:rsidP="005C50FD">
      <w:pPr>
        <w:spacing w:after="0" w:line="240" w:lineRule="auto"/>
        <w:ind w:left="720"/>
        <w:rPr>
          <w:rFonts w:eastAsia="Times New Roman" w:cstheme="minorHAnsi"/>
          <w:sz w:val="22"/>
        </w:rPr>
      </w:pPr>
    </w:p>
    <w:p w14:paraId="58D02B2D" w14:textId="77777777" w:rsidR="00ED6810" w:rsidRPr="00375C77" w:rsidRDefault="00ED6810" w:rsidP="005C50FD">
      <w:pPr>
        <w:spacing w:after="0" w:line="240" w:lineRule="auto"/>
        <w:rPr>
          <w:rFonts w:eastAsia="Times New Roman" w:cstheme="minorHAnsi"/>
          <w:b/>
          <w:bCs/>
          <w:sz w:val="22"/>
        </w:rPr>
      </w:pPr>
    </w:p>
    <w:sectPr w:rsidR="00ED6810" w:rsidRPr="00375C77" w:rsidSect="00355C70">
      <w:headerReference w:type="default" r:id="rId16"/>
      <w:footerReference w:type="default" r:id="rId17"/>
      <w:headerReference w:type="first" r:id="rId18"/>
      <w:footerReference w:type="first" r:id="rId19"/>
      <w:pgSz w:w="12240" w:h="15840"/>
      <w:pgMar w:top="2520" w:right="1440" w:bottom="1800" w:left="1800" w:header="14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AD30" w14:textId="77777777" w:rsidR="00F4300D" w:rsidRDefault="00F4300D" w:rsidP="003C7D00">
      <w:pPr>
        <w:spacing w:after="0" w:line="240" w:lineRule="auto"/>
      </w:pPr>
      <w:r>
        <w:separator/>
      </w:r>
    </w:p>
    <w:p w14:paraId="23AFAB09" w14:textId="77777777" w:rsidR="00F4300D" w:rsidRDefault="00F4300D"/>
  </w:endnote>
  <w:endnote w:type="continuationSeparator" w:id="0">
    <w:p w14:paraId="504C3AA7" w14:textId="77777777" w:rsidR="00F4300D" w:rsidRDefault="00F4300D" w:rsidP="003C7D00">
      <w:pPr>
        <w:spacing w:after="0" w:line="240" w:lineRule="auto"/>
      </w:pPr>
      <w:r>
        <w:continuationSeparator/>
      </w:r>
    </w:p>
    <w:p w14:paraId="17730A39" w14:textId="77777777" w:rsidR="00F4300D" w:rsidRDefault="00F43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CC0285" w14:paraId="5B790BE1" w14:textId="77777777" w:rsidTr="000319F3">
      <w:trPr>
        <w:trHeight w:val="360"/>
      </w:trPr>
      <w:tc>
        <w:tcPr>
          <w:tcW w:w="1541" w:type="dxa"/>
          <w:shd w:val="clear" w:color="auto" w:fill="767171"/>
          <w:tcMar>
            <w:left w:w="0" w:type="dxa"/>
            <w:right w:w="0" w:type="dxa"/>
          </w:tcMar>
          <w:vAlign w:val="center"/>
        </w:tcPr>
        <w:p w14:paraId="5B790BDE" w14:textId="77777777" w:rsidR="00CC0285" w:rsidRPr="000319F3" w:rsidRDefault="00CC0285" w:rsidP="00CC0285">
          <w:pPr>
            <w:spacing w:line="240" w:lineRule="auto"/>
            <w:jc w:val="center"/>
            <w:rPr>
              <w:color w:val="FFFFFF"/>
              <w:sz w:val="18"/>
              <w:szCs w:val="18"/>
            </w:rPr>
          </w:pPr>
          <w:r w:rsidRPr="000319F3">
            <w:rPr>
              <w:color w:val="FFFFFF"/>
              <w:sz w:val="18"/>
              <w:szCs w:val="18"/>
            </w:rPr>
            <w:t>kimley-horn.com</w:t>
          </w:r>
        </w:p>
      </w:tc>
      <w:tc>
        <w:tcPr>
          <w:tcW w:w="6120" w:type="dxa"/>
          <w:shd w:val="clear" w:color="auto" w:fill="4472C4"/>
          <w:tcMar>
            <w:left w:w="144" w:type="dxa"/>
          </w:tcMar>
          <w:vAlign w:val="center"/>
        </w:tcPr>
        <w:p w14:paraId="5B790BDF" w14:textId="44E02512" w:rsidR="00CC0285" w:rsidRPr="000319F3" w:rsidRDefault="007022BA" w:rsidP="00CC0285">
          <w:pPr>
            <w:spacing w:line="240" w:lineRule="auto"/>
            <w:rPr>
              <w:color w:val="FFFFFF"/>
              <w:sz w:val="18"/>
              <w:szCs w:val="18"/>
            </w:rPr>
          </w:pPr>
          <w:r w:rsidRPr="007022BA">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0" w14:textId="6AEED81C" w:rsidR="00CC0285" w:rsidRPr="000319F3" w:rsidRDefault="008266E0" w:rsidP="00CC0285">
          <w:pPr>
            <w:spacing w:line="240" w:lineRule="auto"/>
            <w:jc w:val="center"/>
            <w:rPr>
              <w:color w:val="FFFFFF"/>
              <w:sz w:val="18"/>
              <w:szCs w:val="18"/>
            </w:rPr>
          </w:pPr>
          <w:r>
            <w:rPr>
              <w:color w:val="FFFFFF"/>
              <w:sz w:val="18"/>
              <w:szCs w:val="18"/>
            </w:rPr>
            <w:t>719 453 0180</w:t>
          </w:r>
        </w:p>
      </w:tc>
    </w:tr>
  </w:tbl>
  <w:p w14:paraId="5B790BE2" w14:textId="77777777" w:rsidR="00CC0285" w:rsidRDefault="00CC02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14" w:type="dxa"/>
      <w:tblBorders>
        <w:top w:val="none" w:sz="0" w:space="0" w:color="auto"/>
        <w:left w:val="none" w:sz="0" w:space="0" w:color="auto"/>
        <w:bottom w:val="none" w:sz="0" w:space="0" w:color="auto"/>
        <w:right w:val="none" w:sz="0" w:space="0" w:color="auto"/>
        <w:insideH w:val="single" w:sz="12" w:space="0" w:color="FFFFFF"/>
        <w:insideV w:val="single" w:sz="18" w:space="0" w:color="FFFFFF"/>
      </w:tblBorders>
      <w:tblCellMar>
        <w:left w:w="72" w:type="dxa"/>
        <w:right w:w="43" w:type="dxa"/>
      </w:tblCellMar>
      <w:tblLook w:val="04A0" w:firstRow="1" w:lastRow="0" w:firstColumn="1" w:lastColumn="0" w:noHBand="0" w:noVBand="1"/>
    </w:tblPr>
    <w:tblGrid>
      <w:gridCol w:w="1538"/>
      <w:gridCol w:w="6098"/>
      <w:gridCol w:w="1378"/>
    </w:tblGrid>
    <w:tr w:rsidR="00CC0285" w14:paraId="5B790BE7" w14:textId="77777777" w:rsidTr="000319F3">
      <w:trPr>
        <w:trHeight w:val="360"/>
      </w:trPr>
      <w:tc>
        <w:tcPr>
          <w:tcW w:w="1541" w:type="dxa"/>
          <w:shd w:val="clear" w:color="auto" w:fill="767171"/>
          <w:tcMar>
            <w:left w:w="0" w:type="dxa"/>
            <w:right w:w="0" w:type="dxa"/>
          </w:tcMar>
          <w:vAlign w:val="center"/>
        </w:tcPr>
        <w:p w14:paraId="5B790BE4" w14:textId="77777777" w:rsidR="00CC0285" w:rsidRPr="000319F3" w:rsidRDefault="00CC0285" w:rsidP="005D6D45">
          <w:pPr>
            <w:spacing w:line="240" w:lineRule="auto"/>
            <w:jc w:val="center"/>
            <w:rPr>
              <w:color w:val="FFFFFF"/>
              <w:sz w:val="18"/>
              <w:szCs w:val="18"/>
            </w:rPr>
          </w:pPr>
          <w:bookmarkStart w:id="1" w:name="_Hlk34058270"/>
          <w:r w:rsidRPr="000319F3">
            <w:rPr>
              <w:color w:val="FFFFFF"/>
              <w:sz w:val="18"/>
              <w:szCs w:val="18"/>
            </w:rPr>
            <w:t>kimley-horn.com</w:t>
          </w:r>
        </w:p>
      </w:tc>
      <w:tc>
        <w:tcPr>
          <w:tcW w:w="6120" w:type="dxa"/>
          <w:shd w:val="clear" w:color="auto" w:fill="4472C4"/>
          <w:tcMar>
            <w:left w:w="144" w:type="dxa"/>
          </w:tcMar>
          <w:vAlign w:val="center"/>
        </w:tcPr>
        <w:p w14:paraId="5B790BE5" w14:textId="77777777" w:rsidR="00CC0285" w:rsidRPr="000319F3" w:rsidRDefault="00215609" w:rsidP="005D6D45">
          <w:pPr>
            <w:spacing w:line="240" w:lineRule="auto"/>
            <w:rPr>
              <w:color w:val="FFFFFF"/>
              <w:sz w:val="18"/>
              <w:szCs w:val="18"/>
            </w:rPr>
          </w:pPr>
          <w:r w:rsidRPr="000319F3">
            <w:rPr>
              <w:color w:val="FFFFFF"/>
              <w:sz w:val="18"/>
              <w:szCs w:val="18"/>
            </w:rPr>
            <w:t>2 N. Nevada Ave., Suite 300, Colorado Springs, CO  80903</w:t>
          </w:r>
        </w:p>
      </w:tc>
      <w:tc>
        <w:tcPr>
          <w:tcW w:w="1382" w:type="dxa"/>
          <w:shd w:val="clear" w:color="auto" w:fill="4472C4"/>
          <w:tcMar>
            <w:left w:w="0" w:type="dxa"/>
            <w:bottom w:w="0" w:type="dxa"/>
            <w:right w:w="0" w:type="dxa"/>
          </w:tcMar>
          <w:vAlign w:val="center"/>
        </w:tcPr>
        <w:p w14:paraId="5B790BE6" w14:textId="77777777" w:rsidR="00CC0285" w:rsidRPr="000319F3" w:rsidRDefault="00215609" w:rsidP="005D6D45">
          <w:pPr>
            <w:spacing w:line="240" w:lineRule="auto"/>
            <w:jc w:val="center"/>
            <w:rPr>
              <w:color w:val="FFFFFF"/>
              <w:sz w:val="18"/>
              <w:szCs w:val="18"/>
            </w:rPr>
          </w:pPr>
          <w:r w:rsidRPr="000319F3">
            <w:rPr>
              <w:color w:val="FFFFFF"/>
              <w:sz w:val="18"/>
              <w:szCs w:val="18"/>
            </w:rPr>
            <w:t>719 453 0180</w:t>
          </w:r>
        </w:p>
      </w:tc>
    </w:tr>
    <w:bookmarkEnd w:id="1"/>
  </w:tbl>
  <w:p w14:paraId="5B790BE8" w14:textId="77777777" w:rsidR="00CC0285" w:rsidRDefault="00CC0285" w:rsidP="00603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C9EE4" w14:textId="77777777" w:rsidR="00F4300D" w:rsidRDefault="00F4300D" w:rsidP="003C7D00">
      <w:pPr>
        <w:spacing w:after="0" w:line="240" w:lineRule="auto"/>
      </w:pPr>
      <w:r>
        <w:separator/>
      </w:r>
    </w:p>
    <w:p w14:paraId="7FE84F8A" w14:textId="77777777" w:rsidR="00F4300D" w:rsidRDefault="00F4300D"/>
  </w:footnote>
  <w:footnote w:type="continuationSeparator" w:id="0">
    <w:p w14:paraId="5713CFB7" w14:textId="77777777" w:rsidR="00F4300D" w:rsidRDefault="00F4300D" w:rsidP="003C7D00">
      <w:pPr>
        <w:spacing w:after="0" w:line="240" w:lineRule="auto"/>
      </w:pPr>
      <w:r>
        <w:continuationSeparator/>
      </w:r>
    </w:p>
    <w:p w14:paraId="2E147F8A" w14:textId="77777777" w:rsidR="00F4300D" w:rsidRDefault="00F43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0BDD" w14:textId="77777777" w:rsidR="00CC0285" w:rsidRPr="000319F3" w:rsidRDefault="00CC0285" w:rsidP="00E45E62">
    <w:pPr>
      <w:spacing w:before="320"/>
      <w:jc w:val="right"/>
      <w:rPr>
        <w:i/>
        <w:iCs/>
        <w:color w:val="767171"/>
      </w:rPr>
    </w:pPr>
    <w:r w:rsidRPr="00603CF3">
      <w:rPr>
        <w:rStyle w:val="Emphasis"/>
        <w:noProof/>
      </w:rPr>
      <w:drawing>
        <wp:anchor distT="0" distB="0" distL="114300" distR="114300" simplePos="0" relativeHeight="251658240" behindDoc="1" locked="0" layoutInCell="1" allowOverlap="1" wp14:anchorId="5B790BE9" wp14:editId="5B790BEA">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r>
      <w:rPr>
        <w:rStyle w:val="Emphasis"/>
      </w:rPr>
      <w:t>P</w:t>
    </w:r>
    <w:r w:rsidRPr="00603CF3">
      <w:rPr>
        <w:rStyle w:val="Emphasis"/>
      </w:rPr>
      <w:t xml:space="preserve">age </w:t>
    </w:r>
    <w:r w:rsidRPr="00603CF3">
      <w:rPr>
        <w:rStyle w:val="Emphasis"/>
      </w:rPr>
      <w:fldChar w:fldCharType="begin"/>
    </w:r>
    <w:r w:rsidRPr="00603CF3">
      <w:rPr>
        <w:rStyle w:val="Emphasis"/>
      </w:rPr>
      <w:instrText xml:space="preserve"> PAGE   \* MERGEFORMAT </w:instrText>
    </w:r>
    <w:r w:rsidRPr="00603CF3">
      <w:rPr>
        <w:rStyle w:val="Emphasis"/>
      </w:rPr>
      <w:fldChar w:fldCharType="separate"/>
    </w:r>
    <w:r w:rsidR="002A3885">
      <w:rPr>
        <w:rStyle w:val="Emphasis"/>
        <w:noProof/>
      </w:rPr>
      <w:t>2</w:t>
    </w:r>
    <w:r w:rsidRPr="00603CF3">
      <w:rPr>
        <w:rStyle w:val="Emphas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0BE3" w14:textId="77777777" w:rsidR="00CC0285" w:rsidRPr="000319F3" w:rsidRDefault="00CC0285" w:rsidP="00603CF3">
    <w:pPr>
      <w:spacing w:before="120"/>
      <w:ind w:right="-1440"/>
      <w:rPr>
        <w:i/>
        <w:iCs/>
        <w:color w:val="767171"/>
      </w:rPr>
    </w:pPr>
    <w:r w:rsidRPr="00603CF3">
      <w:rPr>
        <w:rStyle w:val="Emphasis"/>
        <w:noProof/>
      </w:rPr>
      <w:drawing>
        <wp:anchor distT="0" distB="0" distL="114300" distR="114300" simplePos="0" relativeHeight="251660288" behindDoc="1" locked="0" layoutInCell="1" allowOverlap="1" wp14:anchorId="5B790BEB" wp14:editId="5B790BEC">
          <wp:simplePos x="0" y="0"/>
          <wp:positionH relativeFrom="column">
            <wp:posOffset>2540</wp:posOffset>
          </wp:positionH>
          <wp:positionV relativeFrom="paragraph">
            <wp:posOffset>28575</wp:posOffset>
          </wp:positionV>
          <wp:extent cx="1645920" cy="398780"/>
          <wp:effectExtent l="0" t="0" r="0" b="1270"/>
          <wp:wrapTight wrapText="bothSides">
            <wp:wrapPolygon edited="0">
              <wp:start x="0" y="0"/>
              <wp:lineTo x="0" y="20637"/>
              <wp:lineTo x="21250" y="20637"/>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leyHorn_Letterhea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398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64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6E94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58AE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6EEC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27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64346"/>
    <w:lvl w:ilvl="0">
      <w:start w:val="1"/>
      <w:numFmt w:val="bullet"/>
      <w:pStyle w:val="ListBullet4"/>
      <w:lvlText w:val=""/>
      <w:lvlJc w:val="left"/>
      <w:pPr>
        <w:ind w:left="1800" w:hanging="360"/>
      </w:pPr>
      <w:rPr>
        <w:rFonts w:ascii="Wingdings" w:hAnsi="Wingdings" w:hint="default"/>
        <w:color w:val="515151"/>
        <w:sz w:val="16"/>
      </w:rPr>
    </w:lvl>
  </w:abstractNum>
  <w:abstractNum w:abstractNumId="6" w15:restartNumberingAfterBreak="0">
    <w:nsid w:val="FFFFFF82"/>
    <w:multiLevelType w:val="singleLevel"/>
    <w:tmpl w:val="D8BE9490"/>
    <w:lvl w:ilvl="0">
      <w:start w:val="1"/>
      <w:numFmt w:val="bullet"/>
      <w:pStyle w:val="ListBullet3"/>
      <w:lvlText w:val=""/>
      <w:lvlJc w:val="left"/>
      <w:pPr>
        <w:ind w:left="1440" w:hanging="360"/>
      </w:pPr>
      <w:rPr>
        <w:rFonts w:ascii="Wingdings" w:hAnsi="Wingdings" w:hint="default"/>
        <w:color w:val="A20C33" w:themeColor="accent1"/>
        <w:position w:val="0"/>
        <w:sz w:val="16"/>
      </w:rPr>
    </w:lvl>
  </w:abstractNum>
  <w:abstractNum w:abstractNumId="7" w15:restartNumberingAfterBreak="0">
    <w:nsid w:val="FFFFFF83"/>
    <w:multiLevelType w:val="singleLevel"/>
    <w:tmpl w:val="FFAC13AE"/>
    <w:lvl w:ilvl="0">
      <w:start w:val="1"/>
      <w:numFmt w:val="bullet"/>
      <w:pStyle w:val="ListBullet2"/>
      <w:lvlText w:val=""/>
      <w:lvlJc w:val="left"/>
      <w:pPr>
        <w:ind w:left="1080" w:hanging="360"/>
      </w:pPr>
      <w:rPr>
        <w:rFonts w:ascii="Wingdings" w:hAnsi="Wingdings" w:hint="default"/>
        <w:color w:val="515151"/>
        <w:sz w:val="16"/>
      </w:rPr>
    </w:lvl>
  </w:abstractNum>
  <w:abstractNum w:abstractNumId="8" w15:restartNumberingAfterBreak="0">
    <w:nsid w:val="FFFFFF88"/>
    <w:multiLevelType w:val="singleLevel"/>
    <w:tmpl w:val="EF3A1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069956"/>
    <w:lvl w:ilvl="0">
      <w:start w:val="1"/>
      <w:numFmt w:val="bullet"/>
      <w:pStyle w:val="ListBullet"/>
      <w:lvlText w:val=""/>
      <w:lvlJc w:val="left"/>
      <w:pPr>
        <w:ind w:left="720" w:hanging="360"/>
      </w:pPr>
      <w:rPr>
        <w:rFonts w:ascii="Wingdings" w:hAnsi="Wingdings" w:hint="default"/>
        <w:color w:val="A20C33" w:themeColor="accent1"/>
        <w:position w:val="0"/>
        <w:sz w:val="16"/>
      </w:rPr>
    </w:lvl>
  </w:abstractNum>
  <w:abstractNum w:abstractNumId="10" w15:restartNumberingAfterBreak="0">
    <w:nsid w:val="02715A60"/>
    <w:multiLevelType w:val="multilevel"/>
    <w:tmpl w:val="AC4C4AD2"/>
    <w:lvl w:ilvl="0">
      <w:start w:val="1"/>
      <w:numFmt w:val="decimal"/>
      <w:lvlText w:val="%1."/>
      <w:lvlJc w:val="left"/>
      <w:pPr>
        <w:ind w:left="1080" w:hanging="360"/>
      </w:pPr>
    </w:lvl>
    <w:lvl w:ilvl="1">
      <w:start w:val="7"/>
      <w:numFmt w:val="decimal"/>
      <w:isLgl/>
      <w:lvlText w:val="%1.%2"/>
      <w:lvlJc w:val="left"/>
      <w:pPr>
        <w:ind w:left="1365" w:hanging="645"/>
      </w:pPr>
      <w:rPr>
        <w:rFonts w:hint="default"/>
      </w:rPr>
    </w:lvl>
    <w:lvl w:ilvl="2">
      <w:start w:val="80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0288465B"/>
    <w:multiLevelType w:val="hybridMultilevel"/>
    <w:tmpl w:val="9BA21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C6065"/>
    <w:multiLevelType w:val="hybridMultilevel"/>
    <w:tmpl w:val="F6BEA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E60A9"/>
    <w:multiLevelType w:val="hybridMultilevel"/>
    <w:tmpl w:val="DC042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642852"/>
    <w:multiLevelType w:val="hybridMultilevel"/>
    <w:tmpl w:val="303CC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512536"/>
    <w:multiLevelType w:val="hybridMultilevel"/>
    <w:tmpl w:val="9882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D43F0"/>
    <w:multiLevelType w:val="hybridMultilevel"/>
    <w:tmpl w:val="4512575A"/>
    <w:lvl w:ilvl="0" w:tplc="C50627C6">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136669EA"/>
    <w:multiLevelType w:val="hybridMultilevel"/>
    <w:tmpl w:val="7CA67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41B1366"/>
    <w:multiLevelType w:val="hybridMultilevel"/>
    <w:tmpl w:val="C5EEC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06420A"/>
    <w:multiLevelType w:val="hybridMultilevel"/>
    <w:tmpl w:val="58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C3D74"/>
    <w:multiLevelType w:val="hybridMultilevel"/>
    <w:tmpl w:val="7788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022D7"/>
    <w:multiLevelType w:val="hybridMultilevel"/>
    <w:tmpl w:val="FC58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6D4A60"/>
    <w:multiLevelType w:val="hybridMultilevel"/>
    <w:tmpl w:val="F45C00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790700B"/>
    <w:multiLevelType w:val="multilevel"/>
    <w:tmpl w:val="370AD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197066"/>
    <w:multiLevelType w:val="hybridMultilevel"/>
    <w:tmpl w:val="A1AEF9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2B743E22"/>
    <w:multiLevelType w:val="hybridMultilevel"/>
    <w:tmpl w:val="1400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B306B"/>
    <w:multiLevelType w:val="hybridMultilevel"/>
    <w:tmpl w:val="58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D66D2"/>
    <w:multiLevelType w:val="hybridMultilevel"/>
    <w:tmpl w:val="330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287FFB"/>
    <w:multiLevelType w:val="hybridMultilevel"/>
    <w:tmpl w:val="58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27806"/>
    <w:multiLevelType w:val="multilevel"/>
    <w:tmpl w:val="AC4C4AD2"/>
    <w:lvl w:ilvl="0">
      <w:start w:val="1"/>
      <w:numFmt w:val="decimal"/>
      <w:lvlText w:val="%1."/>
      <w:lvlJc w:val="left"/>
      <w:pPr>
        <w:ind w:left="1080" w:hanging="360"/>
      </w:pPr>
    </w:lvl>
    <w:lvl w:ilvl="1">
      <w:start w:val="7"/>
      <w:numFmt w:val="decimal"/>
      <w:isLgl/>
      <w:lvlText w:val="%1.%2"/>
      <w:lvlJc w:val="left"/>
      <w:pPr>
        <w:ind w:left="1365" w:hanging="645"/>
      </w:pPr>
      <w:rPr>
        <w:rFonts w:hint="default"/>
      </w:rPr>
    </w:lvl>
    <w:lvl w:ilvl="2">
      <w:start w:val="80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8215647"/>
    <w:multiLevelType w:val="hybridMultilevel"/>
    <w:tmpl w:val="58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F05D2F"/>
    <w:multiLevelType w:val="hybridMultilevel"/>
    <w:tmpl w:val="4B626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05206"/>
    <w:multiLevelType w:val="hybridMultilevel"/>
    <w:tmpl w:val="E7066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A0D9C"/>
    <w:multiLevelType w:val="hybridMultilevel"/>
    <w:tmpl w:val="9C9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F45D9"/>
    <w:multiLevelType w:val="hybridMultilevel"/>
    <w:tmpl w:val="CCDC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C67FEB"/>
    <w:multiLevelType w:val="hybridMultilevel"/>
    <w:tmpl w:val="63B453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7EC36C4"/>
    <w:multiLevelType w:val="hybridMultilevel"/>
    <w:tmpl w:val="4512575A"/>
    <w:lvl w:ilvl="0" w:tplc="C50627C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5B39510A"/>
    <w:multiLevelType w:val="hybridMultilevel"/>
    <w:tmpl w:val="455416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54C6E63"/>
    <w:multiLevelType w:val="hybridMultilevel"/>
    <w:tmpl w:val="8C9244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86718"/>
    <w:multiLevelType w:val="hybridMultilevel"/>
    <w:tmpl w:val="73B8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B41B1"/>
    <w:multiLevelType w:val="hybridMultilevel"/>
    <w:tmpl w:val="D6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E4933"/>
    <w:multiLevelType w:val="hybridMultilevel"/>
    <w:tmpl w:val="CD8E6690"/>
    <w:lvl w:ilvl="0" w:tplc="314A35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425D6"/>
    <w:multiLevelType w:val="hybridMultilevel"/>
    <w:tmpl w:val="F3B4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295C8B"/>
    <w:multiLevelType w:val="hybridMultilevel"/>
    <w:tmpl w:val="120A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EF0165"/>
    <w:multiLevelType w:val="hybridMultilevel"/>
    <w:tmpl w:val="4142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285FA3"/>
    <w:multiLevelType w:val="hybridMultilevel"/>
    <w:tmpl w:val="87822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A1DF6"/>
    <w:multiLevelType w:val="hybridMultilevel"/>
    <w:tmpl w:val="1D66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342A8"/>
    <w:multiLevelType w:val="hybridMultilevel"/>
    <w:tmpl w:val="D22A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F2A48"/>
    <w:multiLevelType w:val="hybridMultilevel"/>
    <w:tmpl w:val="58D0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32"/>
  </w:num>
  <w:num w:numId="13">
    <w:abstractNumId w:val="12"/>
  </w:num>
  <w:num w:numId="14">
    <w:abstractNumId w:val="24"/>
  </w:num>
  <w:num w:numId="15">
    <w:abstractNumId w:val="13"/>
  </w:num>
  <w:num w:numId="16">
    <w:abstractNumId w:val="29"/>
  </w:num>
  <w:num w:numId="17">
    <w:abstractNumId w:val="10"/>
  </w:num>
  <w:num w:numId="18">
    <w:abstractNumId w:val="14"/>
  </w:num>
  <w:num w:numId="19">
    <w:abstractNumId w:val="18"/>
  </w:num>
  <w:num w:numId="20">
    <w:abstractNumId w:val="31"/>
  </w:num>
  <w:num w:numId="21">
    <w:abstractNumId w:val="41"/>
  </w:num>
  <w:num w:numId="22">
    <w:abstractNumId w:val="39"/>
  </w:num>
  <w:num w:numId="23">
    <w:abstractNumId w:val="11"/>
  </w:num>
  <w:num w:numId="24">
    <w:abstractNumId w:val="44"/>
  </w:num>
  <w:num w:numId="25">
    <w:abstractNumId w:val="16"/>
  </w:num>
  <w:num w:numId="26">
    <w:abstractNumId w:val="36"/>
  </w:num>
  <w:num w:numId="27">
    <w:abstractNumId w:val="37"/>
  </w:num>
  <w:num w:numId="28">
    <w:abstractNumId w:val="30"/>
  </w:num>
  <w:num w:numId="29">
    <w:abstractNumId w:val="28"/>
  </w:num>
  <w:num w:numId="30">
    <w:abstractNumId w:val="48"/>
  </w:num>
  <w:num w:numId="31">
    <w:abstractNumId w:val="46"/>
  </w:num>
  <w:num w:numId="32">
    <w:abstractNumId w:val="33"/>
  </w:num>
  <w:num w:numId="33">
    <w:abstractNumId w:val="19"/>
  </w:num>
  <w:num w:numId="34">
    <w:abstractNumId w:val="26"/>
  </w:num>
  <w:num w:numId="35">
    <w:abstractNumId w:val="4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5"/>
  </w:num>
  <w:num w:numId="39">
    <w:abstractNumId w:val="38"/>
  </w:num>
  <w:num w:numId="40">
    <w:abstractNumId w:val="27"/>
  </w:num>
  <w:num w:numId="41">
    <w:abstractNumId w:val="21"/>
  </w:num>
  <w:num w:numId="42">
    <w:abstractNumId w:val="42"/>
  </w:num>
  <w:num w:numId="43">
    <w:abstractNumId w:val="35"/>
  </w:num>
  <w:num w:numId="44">
    <w:abstractNumId w:val="45"/>
  </w:num>
  <w:num w:numId="45">
    <w:abstractNumId w:val="22"/>
  </w:num>
  <w:num w:numId="46">
    <w:abstractNumId w:val="34"/>
  </w:num>
  <w:num w:numId="47">
    <w:abstractNumId w:val="20"/>
  </w:num>
  <w:num w:numId="48">
    <w:abstractNumId w:val="2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99"/>
    <w:rsid w:val="00000A88"/>
    <w:rsid w:val="00007A0D"/>
    <w:rsid w:val="00012737"/>
    <w:rsid w:val="000217EF"/>
    <w:rsid w:val="0002707E"/>
    <w:rsid w:val="00027B92"/>
    <w:rsid w:val="00030852"/>
    <w:rsid w:val="000319F3"/>
    <w:rsid w:val="000352C5"/>
    <w:rsid w:val="00044634"/>
    <w:rsid w:val="00046BA4"/>
    <w:rsid w:val="000550A7"/>
    <w:rsid w:val="00061872"/>
    <w:rsid w:val="000632B1"/>
    <w:rsid w:val="0006470B"/>
    <w:rsid w:val="00067018"/>
    <w:rsid w:val="000714A6"/>
    <w:rsid w:val="000755CA"/>
    <w:rsid w:val="00080D4C"/>
    <w:rsid w:val="00087284"/>
    <w:rsid w:val="00091CE4"/>
    <w:rsid w:val="00092EBC"/>
    <w:rsid w:val="000A1B96"/>
    <w:rsid w:val="000A2471"/>
    <w:rsid w:val="000A39A0"/>
    <w:rsid w:val="000B60F4"/>
    <w:rsid w:val="000D1497"/>
    <w:rsid w:val="000D1D7F"/>
    <w:rsid w:val="000D1E48"/>
    <w:rsid w:val="000F63C9"/>
    <w:rsid w:val="000F6A97"/>
    <w:rsid w:val="001000FB"/>
    <w:rsid w:val="00101DB9"/>
    <w:rsid w:val="00107DE0"/>
    <w:rsid w:val="00111CEA"/>
    <w:rsid w:val="00116AD8"/>
    <w:rsid w:val="0012066F"/>
    <w:rsid w:val="00120D34"/>
    <w:rsid w:val="00124D54"/>
    <w:rsid w:val="00137143"/>
    <w:rsid w:val="00143622"/>
    <w:rsid w:val="00147D6E"/>
    <w:rsid w:val="0015273F"/>
    <w:rsid w:val="00155E94"/>
    <w:rsid w:val="00160EBB"/>
    <w:rsid w:val="001649C7"/>
    <w:rsid w:val="0017431C"/>
    <w:rsid w:val="0017739C"/>
    <w:rsid w:val="00182E1F"/>
    <w:rsid w:val="00193AE0"/>
    <w:rsid w:val="00194778"/>
    <w:rsid w:val="00194E3F"/>
    <w:rsid w:val="00194E68"/>
    <w:rsid w:val="001954C7"/>
    <w:rsid w:val="001A0059"/>
    <w:rsid w:val="001A0993"/>
    <w:rsid w:val="001A544C"/>
    <w:rsid w:val="001B26C0"/>
    <w:rsid w:val="001B637C"/>
    <w:rsid w:val="001C4A33"/>
    <w:rsid w:val="001C5314"/>
    <w:rsid w:val="001D4192"/>
    <w:rsid w:val="001E5B47"/>
    <w:rsid w:val="001E759F"/>
    <w:rsid w:val="001F1B8A"/>
    <w:rsid w:val="001F6856"/>
    <w:rsid w:val="00202511"/>
    <w:rsid w:val="00210F57"/>
    <w:rsid w:val="00211BD8"/>
    <w:rsid w:val="00211F2D"/>
    <w:rsid w:val="00215609"/>
    <w:rsid w:val="002213E2"/>
    <w:rsid w:val="0023092C"/>
    <w:rsid w:val="00233759"/>
    <w:rsid w:val="00234482"/>
    <w:rsid w:val="00234947"/>
    <w:rsid w:val="002418AE"/>
    <w:rsid w:val="00250E3F"/>
    <w:rsid w:val="0025396A"/>
    <w:rsid w:val="00256F58"/>
    <w:rsid w:val="0026080A"/>
    <w:rsid w:val="00264ED5"/>
    <w:rsid w:val="0026596A"/>
    <w:rsid w:val="00270970"/>
    <w:rsid w:val="00274AAE"/>
    <w:rsid w:val="00286E1F"/>
    <w:rsid w:val="002967F2"/>
    <w:rsid w:val="0029795C"/>
    <w:rsid w:val="00297B3D"/>
    <w:rsid w:val="002A3885"/>
    <w:rsid w:val="002A5691"/>
    <w:rsid w:val="002A66AF"/>
    <w:rsid w:val="002B25BE"/>
    <w:rsid w:val="002B405D"/>
    <w:rsid w:val="002B4DFC"/>
    <w:rsid w:val="002B5D4B"/>
    <w:rsid w:val="002B6FB9"/>
    <w:rsid w:val="002B7715"/>
    <w:rsid w:val="002C72F9"/>
    <w:rsid w:val="002D353D"/>
    <w:rsid w:val="002D7950"/>
    <w:rsid w:val="002E03AC"/>
    <w:rsid w:val="002F4D6C"/>
    <w:rsid w:val="002F4F08"/>
    <w:rsid w:val="002F6E92"/>
    <w:rsid w:val="00301C20"/>
    <w:rsid w:val="003100DE"/>
    <w:rsid w:val="003260A6"/>
    <w:rsid w:val="00333C53"/>
    <w:rsid w:val="00337919"/>
    <w:rsid w:val="00346C55"/>
    <w:rsid w:val="0035045C"/>
    <w:rsid w:val="003539F5"/>
    <w:rsid w:val="00355C70"/>
    <w:rsid w:val="003613B5"/>
    <w:rsid w:val="00372358"/>
    <w:rsid w:val="00372B1E"/>
    <w:rsid w:val="00374B10"/>
    <w:rsid w:val="00375C77"/>
    <w:rsid w:val="00382CC1"/>
    <w:rsid w:val="003A0595"/>
    <w:rsid w:val="003A40FF"/>
    <w:rsid w:val="003A4E39"/>
    <w:rsid w:val="003B007F"/>
    <w:rsid w:val="003B08B0"/>
    <w:rsid w:val="003B272B"/>
    <w:rsid w:val="003B73EC"/>
    <w:rsid w:val="003C2969"/>
    <w:rsid w:val="003C2C1E"/>
    <w:rsid w:val="003C3A3A"/>
    <w:rsid w:val="003C75A3"/>
    <w:rsid w:val="003C7D00"/>
    <w:rsid w:val="003D2DD7"/>
    <w:rsid w:val="003D6FB3"/>
    <w:rsid w:val="003E02A7"/>
    <w:rsid w:val="003F2D38"/>
    <w:rsid w:val="003F4814"/>
    <w:rsid w:val="00402C97"/>
    <w:rsid w:val="00402CEB"/>
    <w:rsid w:val="00412225"/>
    <w:rsid w:val="00413295"/>
    <w:rsid w:val="004140EA"/>
    <w:rsid w:val="00414C59"/>
    <w:rsid w:val="004161AD"/>
    <w:rsid w:val="00424941"/>
    <w:rsid w:val="00441671"/>
    <w:rsid w:val="00454357"/>
    <w:rsid w:val="00466CC8"/>
    <w:rsid w:val="00466DF4"/>
    <w:rsid w:val="00472C9E"/>
    <w:rsid w:val="00475762"/>
    <w:rsid w:val="00485BC4"/>
    <w:rsid w:val="00490A02"/>
    <w:rsid w:val="00490B58"/>
    <w:rsid w:val="00491908"/>
    <w:rsid w:val="004A2C0C"/>
    <w:rsid w:val="004A6148"/>
    <w:rsid w:val="004A64AE"/>
    <w:rsid w:val="004A7057"/>
    <w:rsid w:val="004B1A06"/>
    <w:rsid w:val="004B2357"/>
    <w:rsid w:val="004C49F8"/>
    <w:rsid w:val="004C587B"/>
    <w:rsid w:val="004F0FE8"/>
    <w:rsid w:val="004F2D49"/>
    <w:rsid w:val="004F561B"/>
    <w:rsid w:val="00502432"/>
    <w:rsid w:val="0050540B"/>
    <w:rsid w:val="0051224D"/>
    <w:rsid w:val="00512F30"/>
    <w:rsid w:val="00517330"/>
    <w:rsid w:val="005304F2"/>
    <w:rsid w:val="00550184"/>
    <w:rsid w:val="005570E6"/>
    <w:rsid w:val="00580D08"/>
    <w:rsid w:val="00583157"/>
    <w:rsid w:val="00596B36"/>
    <w:rsid w:val="005B686F"/>
    <w:rsid w:val="005C0289"/>
    <w:rsid w:val="005C0448"/>
    <w:rsid w:val="005C17D1"/>
    <w:rsid w:val="005C3E56"/>
    <w:rsid w:val="005C50FD"/>
    <w:rsid w:val="005D2B02"/>
    <w:rsid w:val="005D6D45"/>
    <w:rsid w:val="005D7867"/>
    <w:rsid w:val="005E591C"/>
    <w:rsid w:val="00601718"/>
    <w:rsid w:val="006018B3"/>
    <w:rsid w:val="00603CF3"/>
    <w:rsid w:val="0060646E"/>
    <w:rsid w:val="00611871"/>
    <w:rsid w:val="00614F3D"/>
    <w:rsid w:val="006161E6"/>
    <w:rsid w:val="00626B80"/>
    <w:rsid w:val="00634B20"/>
    <w:rsid w:val="00644C6F"/>
    <w:rsid w:val="006460DC"/>
    <w:rsid w:val="0064799F"/>
    <w:rsid w:val="00653000"/>
    <w:rsid w:val="006530E4"/>
    <w:rsid w:val="006612D9"/>
    <w:rsid w:val="00661617"/>
    <w:rsid w:val="0066292C"/>
    <w:rsid w:val="00663FA8"/>
    <w:rsid w:val="00672BC0"/>
    <w:rsid w:val="00673FBC"/>
    <w:rsid w:val="0067475A"/>
    <w:rsid w:val="00681250"/>
    <w:rsid w:val="00681907"/>
    <w:rsid w:val="00681B9D"/>
    <w:rsid w:val="00682958"/>
    <w:rsid w:val="00690E49"/>
    <w:rsid w:val="00691828"/>
    <w:rsid w:val="006945B6"/>
    <w:rsid w:val="00697062"/>
    <w:rsid w:val="006A143B"/>
    <w:rsid w:val="006A770C"/>
    <w:rsid w:val="006B4C67"/>
    <w:rsid w:val="006B73D2"/>
    <w:rsid w:val="006C2D1F"/>
    <w:rsid w:val="006C74F4"/>
    <w:rsid w:val="006C781F"/>
    <w:rsid w:val="006D6265"/>
    <w:rsid w:val="006E0F66"/>
    <w:rsid w:val="006E68D1"/>
    <w:rsid w:val="006E761E"/>
    <w:rsid w:val="007022BA"/>
    <w:rsid w:val="00710FF7"/>
    <w:rsid w:val="00712EBD"/>
    <w:rsid w:val="00713DD0"/>
    <w:rsid w:val="00720A08"/>
    <w:rsid w:val="00720E12"/>
    <w:rsid w:val="0073026A"/>
    <w:rsid w:val="007372E5"/>
    <w:rsid w:val="00747A28"/>
    <w:rsid w:val="00754D54"/>
    <w:rsid w:val="00761638"/>
    <w:rsid w:val="007653FD"/>
    <w:rsid w:val="00766069"/>
    <w:rsid w:val="0076670A"/>
    <w:rsid w:val="007678EB"/>
    <w:rsid w:val="007735A6"/>
    <w:rsid w:val="00775A10"/>
    <w:rsid w:val="00776551"/>
    <w:rsid w:val="00776757"/>
    <w:rsid w:val="00783F93"/>
    <w:rsid w:val="00793B04"/>
    <w:rsid w:val="007A05F8"/>
    <w:rsid w:val="007A0FE1"/>
    <w:rsid w:val="007A2C84"/>
    <w:rsid w:val="007B66CD"/>
    <w:rsid w:val="007C6411"/>
    <w:rsid w:val="007C6923"/>
    <w:rsid w:val="007C7FF8"/>
    <w:rsid w:val="007D07E6"/>
    <w:rsid w:val="007D4194"/>
    <w:rsid w:val="007F7F40"/>
    <w:rsid w:val="00814456"/>
    <w:rsid w:val="00814F98"/>
    <w:rsid w:val="008244B2"/>
    <w:rsid w:val="00824994"/>
    <w:rsid w:val="00824F35"/>
    <w:rsid w:val="008266E0"/>
    <w:rsid w:val="00827B6B"/>
    <w:rsid w:val="008309F8"/>
    <w:rsid w:val="008321DA"/>
    <w:rsid w:val="00832BDD"/>
    <w:rsid w:val="00834457"/>
    <w:rsid w:val="00837163"/>
    <w:rsid w:val="008545EA"/>
    <w:rsid w:val="00855772"/>
    <w:rsid w:val="00857D56"/>
    <w:rsid w:val="008604BF"/>
    <w:rsid w:val="00860645"/>
    <w:rsid w:val="00865ECF"/>
    <w:rsid w:val="00890463"/>
    <w:rsid w:val="00893CF3"/>
    <w:rsid w:val="008A2819"/>
    <w:rsid w:val="008A69FA"/>
    <w:rsid w:val="008B0C3F"/>
    <w:rsid w:val="008B33D1"/>
    <w:rsid w:val="008C7602"/>
    <w:rsid w:val="008D6DE4"/>
    <w:rsid w:val="008E43BC"/>
    <w:rsid w:val="008E7D4F"/>
    <w:rsid w:val="008F52CC"/>
    <w:rsid w:val="008F60A9"/>
    <w:rsid w:val="009214AD"/>
    <w:rsid w:val="0093438B"/>
    <w:rsid w:val="00942283"/>
    <w:rsid w:val="00942B0C"/>
    <w:rsid w:val="00943CA0"/>
    <w:rsid w:val="00944306"/>
    <w:rsid w:val="009533BE"/>
    <w:rsid w:val="00957EF3"/>
    <w:rsid w:val="00963C21"/>
    <w:rsid w:val="0097588B"/>
    <w:rsid w:val="009802C1"/>
    <w:rsid w:val="009916DA"/>
    <w:rsid w:val="00992FAF"/>
    <w:rsid w:val="00994272"/>
    <w:rsid w:val="009A4928"/>
    <w:rsid w:val="009A54C1"/>
    <w:rsid w:val="009B4F9F"/>
    <w:rsid w:val="009B6145"/>
    <w:rsid w:val="009B63EE"/>
    <w:rsid w:val="009B6891"/>
    <w:rsid w:val="009D3199"/>
    <w:rsid w:val="009E343C"/>
    <w:rsid w:val="009E3A3F"/>
    <w:rsid w:val="009F11D3"/>
    <w:rsid w:val="00A02B9A"/>
    <w:rsid w:val="00A05646"/>
    <w:rsid w:val="00A06320"/>
    <w:rsid w:val="00A207B2"/>
    <w:rsid w:val="00A21A0F"/>
    <w:rsid w:val="00A22FF4"/>
    <w:rsid w:val="00A23E07"/>
    <w:rsid w:val="00A34EB6"/>
    <w:rsid w:val="00A44A38"/>
    <w:rsid w:val="00A514C3"/>
    <w:rsid w:val="00A51996"/>
    <w:rsid w:val="00A548A4"/>
    <w:rsid w:val="00A6045F"/>
    <w:rsid w:val="00A63617"/>
    <w:rsid w:val="00A66635"/>
    <w:rsid w:val="00A736B3"/>
    <w:rsid w:val="00A73B3F"/>
    <w:rsid w:val="00A77AB4"/>
    <w:rsid w:val="00A80978"/>
    <w:rsid w:val="00A82D80"/>
    <w:rsid w:val="00A8458C"/>
    <w:rsid w:val="00A91528"/>
    <w:rsid w:val="00A91B11"/>
    <w:rsid w:val="00A96977"/>
    <w:rsid w:val="00AB1C84"/>
    <w:rsid w:val="00AC037A"/>
    <w:rsid w:val="00AC0E98"/>
    <w:rsid w:val="00AC2524"/>
    <w:rsid w:val="00AC270A"/>
    <w:rsid w:val="00AC3113"/>
    <w:rsid w:val="00AC5562"/>
    <w:rsid w:val="00AD1841"/>
    <w:rsid w:val="00AD2933"/>
    <w:rsid w:val="00AD6690"/>
    <w:rsid w:val="00AD79C6"/>
    <w:rsid w:val="00AF4B04"/>
    <w:rsid w:val="00AF77D2"/>
    <w:rsid w:val="00B06EC0"/>
    <w:rsid w:val="00B17F10"/>
    <w:rsid w:val="00B2614E"/>
    <w:rsid w:val="00B2623D"/>
    <w:rsid w:val="00B308DE"/>
    <w:rsid w:val="00B31E64"/>
    <w:rsid w:val="00B40169"/>
    <w:rsid w:val="00B40A42"/>
    <w:rsid w:val="00B45525"/>
    <w:rsid w:val="00B47AA1"/>
    <w:rsid w:val="00B502A2"/>
    <w:rsid w:val="00B52FAF"/>
    <w:rsid w:val="00B53C13"/>
    <w:rsid w:val="00B61ACA"/>
    <w:rsid w:val="00B679CA"/>
    <w:rsid w:val="00B74E09"/>
    <w:rsid w:val="00B82674"/>
    <w:rsid w:val="00B87FEB"/>
    <w:rsid w:val="00B96EA2"/>
    <w:rsid w:val="00BA1166"/>
    <w:rsid w:val="00BA4B5E"/>
    <w:rsid w:val="00BA7A8F"/>
    <w:rsid w:val="00BB7E6A"/>
    <w:rsid w:val="00BC132A"/>
    <w:rsid w:val="00BE040F"/>
    <w:rsid w:val="00BE3A58"/>
    <w:rsid w:val="00BE5B51"/>
    <w:rsid w:val="00BE7081"/>
    <w:rsid w:val="00C11A82"/>
    <w:rsid w:val="00C157F6"/>
    <w:rsid w:val="00C2057D"/>
    <w:rsid w:val="00C20796"/>
    <w:rsid w:val="00C22063"/>
    <w:rsid w:val="00C32F97"/>
    <w:rsid w:val="00C55A76"/>
    <w:rsid w:val="00C5728F"/>
    <w:rsid w:val="00C71A5A"/>
    <w:rsid w:val="00C75CD9"/>
    <w:rsid w:val="00C77206"/>
    <w:rsid w:val="00C7726C"/>
    <w:rsid w:val="00C91AEC"/>
    <w:rsid w:val="00C92039"/>
    <w:rsid w:val="00C9254A"/>
    <w:rsid w:val="00C92C48"/>
    <w:rsid w:val="00C93E53"/>
    <w:rsid w:val="00C978BF"/>
    <w:rsid w:val="00CA1280"/>
    <w:rsid w:val="00CA33E6"/>
    <w:rsid w:val="00CB2526"/>
    <w:rsid w:val="00CB77F5"/>
    <w:rsid w:val="00CB7E8E"/>
    <w:rsid w:val="00CC0285"/>
    <w:rsid w:val="00CC088B"/>
    <w:rsid w:val="00CC2F90"/>
    <w:rsid w:val="00CC7744"/>
    <w:rsid w:val="00CD188B"/>
    <w:rsid w:val="00CD5A7E"/>
    <w:rsid w:val="00CD6126"/>
    <w:rsid w:val="00CD63A8"/>
    <w:rsid w:val="00CE1E60"/>
    <w:rsid w:val="00CE30FE"/>
    <w:rsid w:val="00CE323B"/>
    <w:rsid w:val="00CE46B5"/>
    <w:rsid w:val="00CF1AB1"/>
    <w:rsid w:val="00CF6A68"/>
    <w:rsid w:val="00D06EF5"/>
    <w:rsid w:val="00D074A0"/>
    <w:rsid w:val="00D12417"/>
    <w:rsid w:val="00D16187"/>
    <w:rsid w:val="00D167A9"/>
    <w:rsid w:val="00D25A4E"/>
    <w:rsid w:val="00D3527D"/>
    <w:rsid w:val="00D35E3E"/>
    <w:rsid w:val="00D3649C"/>
    <w:rsid w:val="00D36554"/>
    <w:rsid w:val="00D43673"/>
    <w:rsid w:val="00D468F7"/>
    <w:rsid w:val="00D46ED6"/>
    <w:rsid w:val="00D507BD"/>
    <w:rsid w:val="00D56C68"/>
    <w:rsid w:val="00D57984"/>
    <w:rsid w:val="00D60AD7"/>
    <w:rsid w:val="00D719BD"/>
    <w:rsid w:val="00D73004"/>
    <w:rsid w:val="00D75A79"/>
    <w:rsid w:val="00D817DF"/>
    <w:rsid w:val="00D83A4B"/>
    <w:rsid w:val="00D87758"/>
    <w:rsid w:val="00D9031F"/>
    <w:rsid w:val="00D96435"/>
    <w:rsid w:val="00D96A23"/>
    <w:rsid w:val="00DB1C86"/>
    <w:rsid w:val="00DB33ED"/>
    <w:rsid w:val="00DB3CC6"/>
    <w:rsid w:val="00DB463C"/>
    <w:rsid w:val="00DC0A2D"/>
    <w:rsid w:val="00DC3D37"/>
    <w:rsid w:val="00DC454F"/>
    <w:rsid w:val="00DD16D9"/>
    <w:rsid w:val="00DE07C8"/>
    <w:rsid w:val="00DE1A51"/>
    <w:rsid w:val="00E0105F"/>
    <w:rsid w:val="00E04109"/>
    <w:rsid w:val="00E10DC0"/>
    <w:rsid w:val="00E147CC"/>
    <w:rsid w:val="00E16C53"/>
    <w:rsid w:val="00E351E6"/>
    <w:rsid w:val="00E35298"/>
    <w:rsid w:val="00E36DA9"/>
    <w:rsid w:val="00E371DB"/>
    <w:rsid w:val="00E372AB"/>
    <w:rsid w:val="00E44284"/>
    <w:rsid w:val="00E45ABC"/>
    <w:rsid w:val="00E45E62"/>
    <w:rsid w:val="00E50407"/>
    <w:rsid w:val="00E52CE5"/>
    <w:rsid w:val="00E53E11"/>
    <w:rsid w:val="00E5672F"/>
    <w:rsid w:val="00E60233"/>
    <w:rsid w:val="00E61336"/>
    <w:rsid w:val="00E64874"/>
    <w:rsid w:val="00E6582F"/>
    <w:rsid w:val="00E659B9"/>
    <w:rsid w:val="00E66C34"/>
    <w:rsid w:val="00E67FFB"/>
    <w:rsid w:val="00E70CF5"/>
    <w:rsid w:val="00E72757"/>
    <w:rsid w:val="00E752A3"/>
    <w:rsid w:val="00E868AB"/>
    <w:rsid w:val="00E972FE"/>
    <w:rsid w:val="00EA0977"/>
    <w:rsid w:val="00EA2831"/>
    <w:rsid w:val="00EA673E"/>
    <w:rsid w:val="00EB5BAF"/>
    <w:rsid w:val="00EB5BE7"/>
    <w:rsid w:val="00EC1920"/>
    <w:rsid w:val="00EC371B"/>
    <w:rsid w:val="00EC43BF"/>
    <w:rsid w:val="00ED1A81"/>
    <w:rsid w:val="00ED6810"/>
    <w:rsid w:val="00EE50EF"/>
    <w:rsid w:val="00EF26B8"/>
    <w:rsid w:val="00EF3D76"/>
    <w:rsid w:val="00EF592E"/>
    <w:rsid w:val="00F015F3"/>
    <w:rsid w:val="00F01E65"/>
    <w:rsid w:val="00F02D9F"/>
    <w:rsid w:val="00F12F73"/>
    <w:rsid w:val="00F1678E"/>
    <w:rsid w:val="00F227D2"/>
    <w:rsid w:val="00F31D55"/>
    <w:rsid w:val="00F321BE"/>
    <w:rsid w:val="00F34197"/>
    <w:rsid w:val="00F365BF"/>
    <w:rsid w:val="00F36BB8"/>
    <w:rsid w:val="00F411B9"/>
    <w:rsid w:val="00F4300D"/>
    <w:rsid w:val="00F53761"/>
    <w:rsid w:val="00F630A8"/>
    <w:rsid w:val="00F70A7E"/>
    <w:rsid w:val="00F7590A"/>
    <w:rsid w:val="00F855E9"/>
    <w:rsid w:val="00F86F2A"/>
    <w:rsid w:val="00FA6909"/>
    <w:rsid w:val="00FB1484"/>
    <w:rsid w:val="00FB5022"/>
    <w:rsid w:val="00FC14BF"/>
    <w:rsid w:val="00FD333C"/>
    <w:rsid w:val="00FD64E2"/>
    <w:rsid w:val="00FE04C1"/>
    <w:rsid w:val="00FE2AB1"/>
    <w:rsid w:val="00FE782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790BD4"/>
  <w15:docId w15:val="{E89AAFD4-7375-4E10-B530-ED8F397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8B0"/>
    <w:pPr>
      <w:spacing w:line="276" w:lineRule="auto"/>
    </w:pPr>
    <w:rPr>
      <w:rFonts w:asciiTheme="minorHAnsi" w:hAnsiTheme="minorHAnsi"/>
      <w:sz w:val="20"/>
    </w:rPr>
  </w:style>
  <w:style w:type="paragraph" w:styleId="Heading1">
    <w:name w:val="heading 1"/>
    <w:basedOn w:val="Normal"/>
    <w:next w:val="Normal"/>
    <w:link w:val="Heading1Char"/>
    <w:uiPriority w:val="9"/>
    <w:qFormat/>
    <w:rsid w:val="00681907"/>
    <w:pPr>
      <w:keepLines/>
      <w:spacing w:before="240" w:after="0"/>
      <w:outlineLvl w:val="0"/>
    </w:pPr>
    <w:rPr>
      <w:rFonts w:asciiTheme="majorHAnsi" w:eastAsiaTheme="majorEastAsia" w:hAnsiTheme="majorHAnsi" w:cstheme="majorBidi"/>
      <w:b/>
      <w:bCs/>
      <w:color w:val="A20C33" w:themeColor="accent1"/>
      <w:sz w:val="28"/>
      <w:szCs w:val="28"/>
    </w:rPr>
  </w:style>
  <w:style w:type="paragraph" w:styleId="Heading2">
    <w:name w:val="heading 2"/>
    <w:basedOn w:val="Normal"/>
    <w:next w:val="Normal"/>
    <w:link w:val="Heading2Char"/>
    <w:uiPriority w:val="9"/>
    <w:unhideWhenUsed/>
    <w:qFormat/>
    <w:rsid w:val="00E52CE5"/>
    <w:pPr>
      <w:keepLines/>
      <w:spacing w:before="200" w:after="0"/>
      <w:outlineLvl w:val="1"/>
    </w:pPr>
    <w:rPr>
      <w:rFonts w:asciiTheme="majorHAnsi" w:eastAsiaTheme="majorEastAsia" w:hAnsiTheme="majorHAnsi" w:cstheme="majorBidi"/>
      <w:b/>
      <w:bCs/>
      <w:caps/>
      <w:color w:val="A20C33" w:themeColor="accent1"/>
      <w:spacing w:val="20"/>
      <w:sz w:val="24"/>
      <w:szCs w:val="24"/>
    </w:rPr>
  </w:style>
  <w:style w:type="paragraph" w:styleId="Heading3">
    <w:name w:val="heading 3"/>
    <w:basedOn w:val="Normal"/>
    <w:next w:val="Normal"/>
    <w:link w:val="Heading3Char"/>
    <w:uiPriority w:val="9"/>
    <w:unhideWhenUsed/>
    <w:qFormat/>
    <w:rsid w:val="00E52CE5"/>
    <w:pPr>
      <w:keepLines/>
      <w:spacing w:before="200" w:after="0"/>
      <w:outlineLvl w:val="2"/>
    </w:pPr>
    <w:rPr>
      <w:rFonts w:asciiTheme="majorHAnsi" w:eastAsiaTheme="majorEastAsia" w:hAnsiTheme="majorHAnsi" w:cstheme="majorBidi"/>
      <w:b/>
      <w:bCs/>
      <w:color w:val="2F2F2F" w:themeColor="text1" w:themeShade="BF"/>
      <w:sz w:val="22"/>
    </w:rPr>
  </w:style>
  <w:style w:type="paragraph" w:styleId="Heading4">
    <w:name w:val="heading 4"/>
    <w:basedOn w:val="Normal"/>
    <w:next w:val="Normal"/>
    <w:link w:val="Heading4Char"/>
    <w:uiPriority w:val="9"/>
    <w:unhideWhenUsed/>
    <w:rsid w:val="00E52CE5"/>
    <w:pPr>
      <w:keepLines/>
      <w:spacing w:before="200" w:after="0"/>
      <w:outlineLvl w:val="3"/>
    </w:pPr>
    <w:rPr>
      <w:rFonts w:asciiTheme="majorHAnsi" w:eastAsiaTheme="majorEastAsia" w:hAnsiTheme="majorHAnsi" w:cstheme="majorBidi"/>
      <w:b/>
      <w:bCs/>
      <w:i/>
      <w:iCs/>
      <w:color w:val="2F2F2F" w:themeColor="text1" w:themeShade="BF"/>
    </w:rPr>
  </w:style>
  <w:style w:type="paragraph" w:styleId="Heading5">
    <w:name w:val="heading 5"/>
    <w:basedOn w:val="Normal"/>
    <w:next w:val="Normal"/>
    <w:link w:val="Heading5Char"/>
    <w:uiPriority w:val="9"/>
    <w:unhideWhenUsed/>
    <w:rsid w:val="00E52CE5"/>
    <w:pPr>
      <w:keepLines/>
      <w:spacing w:before="200" w:after="0"/>
      <w:outlineLvl w:val="4"/>
    </w:pPr>
    <w:rPr>
      <w:rFonts w:asciiTheme="majorHAnsi" w:eastAsiaTheme="majorEastAsia" w:hAnsiTheme="majorHAnsi" w:cstheme="majorBidi"/>
      <w:color w:val="A20C33" w:themeColor="accent1"/>
    </w:rPr>
  </w:style>
  <w:style w:type="paragraph" w:styleId="Heading6">
    <w:name w:val="heading 6"/>
    <w:basedOn w:val="Normal"/>
    <w:next w:val="Normal"/>
    <w:link w:val="Heading6Char"/>
    <w:uiPriority w:val="9"/>
    <w:unhideWhenUsed/>
    <w:rsid w:val="00E52CE5"/>
    <w:pPr>
      <w:keepLines/>
      <w:spacing w:before="200" w:after="0"/>
      <w:outlineLvl w:val="5"/>
    </w:pPr>
    <w:rPr>
      <w:rFonts w:asciiTheme="majorHAnsi" w:eastAsiaTheme="majorEastAsia" w:hAnsiTheme="majorHAnsi" w:cstheme="majorBidi"/>
      <w:i/>
      <w:iCs/>
      <w:color w:val="A20C33" w:themeColor="accent1"/>
    </w:rPr>
  </w:style>
  <w:style w:type="paragraph" w:styleId="Heading7">
    <w:name w:val="heading 7"/>
    <w:basedOn w:val="Normal"/>
    <w:next w:val="Normal"/>
    <w:link w:val="Heading7Char"/>
    <w:uiPriority w:val="9"/>
    <w:unhideWhenUsed/>
    <w:rsid w:val="00E52CE5"/>
    <w:pPr>
      <w:keepLines/>
      <w:spacing w:before="200" w:after="0"/>
      <w:outlineLvl w:val="6"/>
    </w:pPr>
    <w:rPr>
      <w:rFonts w:asciiTheme="majorHAnsi" w:eastAsiaTheme="majorEastAsia" w:hAnsiTheme="majorHAnsi" w:cstheme="majorBidi"/>
      <w:i/>
      <w:iCs/>
      <w:color w:val="5F5F5F" w:themeColor="background2" w:themeShade="80"/>
    </w:rPr>
  </w:style>
  <w:style w:type="paragraph" w:styleId="Heading8">
    <w:name w:val="heading 8"/>
    <w:basedOn w:val="Normal"/>
    <w:next w:val="Normal"/>
    <w:link w:val="Heading8Char"/>
    <w:uiPriority w:val="9"/>
    <w:unhideWhenUsed/>
    <w:rsid w:val="00E52CE5"/>
    <w:pPr>
      <w:keepLines/>
      <w:spacing w:before="200" w:after="0"/>
      <w:outlineLvl w:val="7"/>
    </w:pPr>
    <w:rPr>
      <w:rFonts w:asciiTheme="majorHAnsi" w:eastAsiaTheme="majorEastAsia" w:hAnsiTheme="majorHAnsi" w:cstheme="majorBidi"/>
      <w:color w:val="5F5F5F" w:themeColor="background2" w:themeShade="80"/>
      <w:szCs w:val="20"/>
    </w:rPr>
  </w:style>
  <w:style w:type="paragraph" w:styleId="Heading9">
    <w:name w:val="heading 9"/>
    <w:basedOn w:val="Normal"/>
    <w:next w:val="Normal"/>
    <w:link w:val="Heading9Char"/>
    <w:uiPriority w:val="9"/>
    <w:unhideWhenUsed/>
    <w:rsid w:val="00E52CE5"/>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D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1907"/>
    <w:rPr>
      <w:rFonts w:asciiTheme="majorHAnsi" w:eastAsiaTheme="majorEastAsia" w:hAnsiTheme="majorHAnsi" w:cstheme="majorBidi"/>
      <w:b/>
      <w:bCs/>
      <w:color w:val="A20C33" w:themeColor="accent1"/>
      <w:sz w:val="28"/>
      <w:szCs w:val="28"/>
    </w:rPr>
  </w:style>
  <w:style w:type="character" w:customStyle="1" w:styleId="Heading2Char">
    <w:name w:val="Heading 2 Char"/>
    <w:basedOn w:val="DefaultParagraphFont"/>
    <w:link w:val="Heading2"/>
    <w:uiPriority w:val="9"/>
    <w:rsid w:val="00E52CE5"/>
    <w:rPr>
      <w:rFonts w:asciiTheme="majorHAnsi" w:eastAsiaTheme="majorEastAsia" w:hAnsiTheme="majorHAnsi" w:cstheme="majorBidi"/>
      <w:b/>
      <w:bCs/>
      <w:caps/>
      <w:color w:val="A20C33" w:themeColor="accent1"/>
      <w:spacing w:val="20"/>
      <w:sz w:val="24"/>
      <w:szCs w:val="24"/>
    </w:rPr>
  </w:style>
  <w:style w:type="character" w:customStyle="1" w:styleId="Heading3Char">
    <w:name w:val="Heading 3 Char"/>
    <w:basedOn w:val="DefaultParagraphFont"/>
    <w:link w:val="Heading3"/>
    <w:uiPriority w:val="9"/>
    <w:rsid w:val="00E52CE5"/>
    <w:rPr>
      <w:rFonts w:asciiTheme="majorHAnsi" w:eastAsiaTheme="majorEastAsia" w:hAnsiTheme="majorHAnsi" w:cstheme="majorBidi"/>
      <w:b/>
      <w:bCs/>
      <w:color w:val="2F2F2F" w:themeColor="text1" w:themeShade="BF"/>
    </w:rPr>
  </w:style>
  <w:style w:type="character" w:customStyle="1" w:styleId="Heading4Char">
    <w:name w:val="Heading 4 Char"/>
    <w:basedOn w:val="DefaultParagraphFont"/>
    <w:link w:val="Heading4"/>
    <w:uiPriority w:val="9"/>
    <w:rsid w:val="00E52CE5"/>
    <w:rPr>
      <w:rFonts w:asciiTheme="majorHAnsi" w:eastAsiaTheme="majorEastAsia" w:hAnsiTheme="majorHAnsi" w:cstheme="majorBidi"/>
      <w:b/>
      <w:bCs/>
      <w:i/>
      <w:iCs/>
      <w:color w:val="2F2F2F" w:themeColor="text1" w:themeShade="BF"/>
      <w:sz w:val="20"/>
    </w:rPr>
  </w:style>
  <w:style w:type="paragraph" w:styleId="ListBullet">
    <w:name w:val="List Bullet"/>
    <w:basedOn w:val="Normal"/>
    <w:uiPriority w:val="99"/>
    <w:unhideWhenUsed/>
    <w:qFormat/>
    <w:rsid w:val="005D6D45"/>
    <w:pPr>
      <w:numPr>
        <w:numId w:val="1"/>
      </w:numPr>
      <w:spacing w:after="120"/>
      <w:contextualSpacing/>
    </w:pPr>
    <w:rPr>
      <w:color w:val="5F5F5F" w:themeColor="background2" w:themeShade="80"/>
    </w:rPr>
  </w:style>
  <w:style w:type="paragraph" w:styleId="ListBullet2">
    <w:name w:val="List Bullet 2"/>
    <w:basedOn w:val="ListBullet"/>
    <w:uiPriority w:val="99"/>
    <w:unhideWhenUsed/>
    <w:qFormat/>
    <w:rsid w:val="008D6DE4"/>
    <w:pPr>
      <w:numPr>
        <w:numId w:val="2"/>
      </w:numPr>
    </w:pPr>
  </w:style>
  <w:style w:type="paragraph" w:styleId="ListBullet3">
    <w:name w:val="List Bullet 3"/>
    <w:basedOn w:val="Normal"/>
    <w:next w:val="ListBullet"/>
    <w:uiPriority w:val="99"/>
    <w:unhideWhenUsed/>
    <w:qFormat/>
    <w:rsid w:val="005D6D45"/>
    <w:pPr>
      <w:numPr>
        <w:numId w:val="3"/>
      </w:numPr>
      <w:spacing w:after="120"/>
      <w:contextualSpacing/>
    </w:pPr>
    <w:rPr>
      <w:color w:val="5F5F5F" w:themeColor="background2" w:themeShade="80"/>
    </w:rPr>
  </w:style>
  <w:style w:type="paragraph" w:styleId="ListBullet4">
    <w:name w:val="List Bullet 4"/>
    <w:basedOn w:val="Normal"/>
    <w:next w:val="ListBullet"/>
    <w:uiPriority w:val="99"/>
    <w:unhideWhenUsed/>
    <w:qFormat/>
    <w:rsid w:val="008D6DE4"/>
    <w:pPr>
      <w:numPr>
        <w:numId w:val="4"/>
      </w:numPr>
      <w:spacing w:after="120"/>
      <w:contextualSpacing/>
    </w:pPr>
    <w:rPr>
      <w:color w:val="5F5F5F" w:themeColor="background2" w:themeShade="80"/>
    </w:rPr>
  </w:style>
  <w:style w:type="character" w:styleId="Strong">
    <w:name w:val="Strong"/>
    <w:basedOn w:val="DefaultParagraphFont"/>
    <w:uiPriority w:val="22"/>
    <w:qFormat/>
    <w:rsid w:val="00681250"/>
    <w:rPr>
      <w:b/>
      <w:bCs/>
      <w:color w:val="2F2F2F" w:themeColor="text1" w:themeShade="BF"/>
    </w:rPr>
  </w:style>
  <w:style w:type="character" w:styleId="Emphasis">
    <w:name w:val="Emphasis"/>
    <w:basedOn w:val="DefaultParagraphFont"/>
    <w:qFormat/>
    <w:rsid w:val="00681250"/>
    <w:rPr>
      <w:i/>
      <w:iCs/>
      <w:color w:val="5F5F5F" w:themeColor="background2" w:themeShade="80"/>
    </w:rPr>
  </w:style>
  <w:style w:type="character" w:styleId="IntenseEmphasis">
    <w:name w:val="Intense Emphasis"/>
    <w:basedOn w:val="DefaultParagraphFont"/>
    <w:uiPriority w:val="21"/>
    <w:qFormat/>
    <w:rsid w:val="00D16187"/>
    <w:rPr>
      <w:b/>
      <w:bCs/>
      <w:i/>
      <w:iCs/>
      <w:color w:val="A20C33" w:themeColor="accent1"/>
    </w:rPr>
  </w:style>
  <w:style w:type="paragraph" w:styleId="NoSpacing">
    <w:name w:val="No Spacing"/>
    <w:uiPriority w:val="1"/>
    <w:qFormat/>
    <w:rsid w:val="003B08B0"/>
    <w:pPr>
      <w:spacing w:line="276" w:lineRule="auto"/>
      <w:contextualSpacing/>
    </w:pPr>
    <w:rPr>
      <w:rFonts w:asciiTheme="minorHAnsi" w:hAnsiTheme="minorHAnsi"/>
      <w:sz w:val="20"/>
    </w:rPr>
  </w:style>
  <w:style w:type="character" w:customStyle="1" w:styleId="Heading5Char">
    <w:name w:val="Heading 5 Char"/>
    <w:basedOn w:val="DefaultParagraphFont"/>
    <w:link w:val="Heading5"/>
    <w:uiPriority w:val="9"/>
    <w:rsid w:val="00E52CE5"/>
    <w:rPr>
      <w:rFonts w:asciiTheme="majorHAnsi" w:eastAsiaTheme="majorEastAsia" w:hAnsiTheme="majorHAnsi" w:cstheme="majorBidi"/>
      <w:color w:val="A20C33" w:themeColor="accent1"/>
      <w:sz w:val="20"/>
    </w:rPr>
  </w:style>
  <w:style w:type="character" w:customStyle="1" w:styleId="Heading6Char">
    <w:name w:val="Heading 6 Char"/>
    <w:basedOn w:val="DefaultParagraphFont"/>
    <w:link w:val="Heading6"/>
    <w:uiPriority w:val="9"/>
    <w:rsid w:val="00E52CE5"/>
    <w:rPr>
      <w:rFonts w:asciiTheme="majorHAnsi" w:eastAsiaTheme="majorEastAsia" w:hAnsiTheme="majorHAnsi" w:cstheme="majorBidi"/>
      <w:i/>
      <w:iCs/>
      <w:color w:val="A20C33" w:themeColor="accent1"/>
      <w:sz w:val="20"/>
    </w:rPr>
  </w:style>
  <w:style w:type="character" w:customStyle="1" w:styleId="Heading7Char">
    <w:name w:val="Heading 7 Char"/>
    <w:basedOn w:val="DefaultParagraphFont"/>
    <w:link w:val="Heading7"/>
    <w:uiPriority w:val="9"/>
    <w:rsid w:val="00E52CE5"/>
    <w:rPr>
      <w:rFonts w:asciiTheme="majorHAnsi" w:eastAsiaTheme="majorEastAsia" w:hAnsiTheme="majorHAnsi" w:cstheme="majorBidi"/>
      <w:i/>
      <w:iCs/>
      <w:color w:val="5F5F5F" w:themeColor="background2" w:themeShade="80"/>
      <w:sz w:val="20"/>
    </w:rPr>
  </w:style>
  <w:style w:type="character" w:customStyle="1" w:styleId="Heading8Char">
    <w:name w:val="Heading 8 Char"/>
    <w:basedOn w:val="DefaultParagraphFont"/>
    <w:link w:val="Heading8"/>
    <w:uiPriority w:val="9"/>
    <w:rsid w:val="00E52CE5"/>
    <w:rPr>
      <w:rFonts w:asciiTheme="majorHAnsi" w:eastAsiaTheme="majorEastAsia" w:hAnsiTheme="majorHAnsi" w:cstheme="majorBidi"/>
      <w:color w:val="5F5F5F" w:themeColor="background2" w:themeShade="80"/>
      <w:sz w:val="20"/>
      <w:szCs w:val="20"/>
    </w:rPr>
  </w:style>
  <w:style w:type="character" w:customStyle="1" w:styleId="Heading9Char">
    <w:name w:val="Heading 9 Char"/>
    <w:basedOn w:val="DefaultParagraphFont"/>
    <w:link w:val="Heading9"/>
    <w:uiPriority w:val="9"/>
    <w:rsid w:val="00E52CE5"/>
    <w:rPr>
      <w:rFonts w:asciiTheme="majorHAnsi" w:eastAsiaTheme="majorEastAsia" w:hAnsiTheme="majorHAnsi" w:cstheme="majorBidi"/>
      <w:i/>
      <w:iCs/>
      <w:sz w:val="20"/>
      <w:szCs w:val="20"/>
    </w:rPr>
  </w:style>
  <w:style w:type="character" w:styleId="Hyperlink">
    <w:name w:val="Hyperlink"/>
    <w:basedOn w:val="DefaultParagraphFont"/>
    <w:uiPriority w:val="99"/>
    <w:semiHidden/>
    <w:unhideWhenUsed/>
    <w:rsid w:val="00E52CE5"/>
    <w:rPr>
      <w:color w:val="0000FF"/>
      <w:u w:val="single"/>
    </w:rPr>
  </w:style>
  <w:style w:type="paragraph" w:styleId="Header">
    <w:name w:val="header"/>
    <w:basedOn w:val="Normal"/>
    <w:link w:val="HeaderChar"/>
    <w:uiPriority w:val="99"/>
    <w:unhideWhenUsed/>
    <w:rsid w:val="00E4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62"/>
    <w:rPr>
      <w:rFonts w:asciiTheme="minorHAnsi" w:hAnsiTheme="minorHAnsi"/>
      <w:sz w:val="20"/>
    </w:rPr>
  </w:style>
  <w:style w:type="paragraph" w:styleId="Footer">
    <w:name w:val="footer"/>
    <w:basedOn w:val="Normal"/>
    <w:link w:val="FooterChar"/>
    <w:uiPriority w:val="99"/>
    <w:unhideWhenUsed/>
    <w:rsid w:val="00E45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62"/>
    <w:rPr>
      <w:rFonts w:asciiTheme="minorHAnsi" w:hAnsiTheme="minorHAnsi"/>
      <w:sz w:val="20"/>
    </w:rPr>
  </w:style>
  <w:style w:type="paragraph" w:styleId="FootnoteText">
    <w:name w:val="footnote text"/>
    <w:basedOn w:val="Normal"/>
    <w:link w:val="FootnoteTextChar"/>
    <w:uiPriority w:val="99"/>
    <w:semiHidden/>
    <w:unhideWhenUsed/>
    <w:rsid w:val="003260A6"/>
    <w:pPr>
      <w:spacing w:after="0" w:line="240" w:lineRule="auto"/>
    </w:pPr>
    <w:rPr>
      <w:szCs w:val="20"/>
    </w:rPr>
  </w:style>
  <w:style w:type="character" w:customStyle="1" w:styleId="FootnoteTextChar">
    <w:name w:val="Footnote Text Char"/>
    <w:basedOn w:val="DefaultParagraphFont"/>
    <w:link w:val="FootnoteText"/>
    <w:uiPriority w:val="99"/>
    <w:semiHidden/>
    <w:rsid w:val="003260A6"/>
    <w:rPr>
      <w:rFonts w:asciiTheme="minorHAnsi" w:hAnsiTheme="minorHAnsi"/>
      <w:sz w:val="20"/>
      <w:szCs w:val="20"/>
    </w:rPr>
  </w:style>
  <w:style w:type="character" w:styleId="FootnoteReference">
    <w:name w:val="footnote reference"/>
    <w:basedOn w:val="DefaultParagraphFont"/>
    <w:uiPriority w:val="99"/>
    <w:semiHidden/>
    <w:unhideWhenUsed/>
    <w:rsid w:val="003260A6"/>
    <w:rPr>
      <w:vertAlign w:val="superscript"/>
    </w:rPr>
  </w:style>
  <w:style w:type="paragraph" w:styleId="BodyText">
    <w:name w:val="Body Text"/>
    <w:basedOn w:val="Normal"/>
    <w:link w:val="BodyTextChar"/>
    <w:uiPriority w:val="1"/>
    <w:qFormat/>
    <w:rsid w:val="00512F30"/>
    <w:pPr>
      <w:widowControl w:val="0"/>
      <w:autoSpaceDE w:val="0"/>
      <w:autoSpaceDN w:val="0"/>
      <w:adjustRightInd w:val="0"/>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512F3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0A7"/>
    <w:rPr>
      <w:rFonts w:ascii="Segoe UI" w:hAnsi="Segoe UI" w:cs="Segoe UI"/>
      <w:sz w:val="18"/>
      <w:szCs w:val="18"/>
    </w:rPr>
  </w:style>
  <w:style w:type="paragraph" w:styleId="ListParagraph">
    <w:name w:val="List Paragraph"/>
    <w:basedOn w:val="Normal"/>
    <w:uiPriority w:val="34"/>
    <w:qFormat/>
    <w:rsid w:val="009F11D3"/>
    <w:pPr>
      <w:ind w:left="720"/>
      <w:contextualSpacing/>
    </w:pPr>
  </w:style>
  <w:style w:type="character" w:customStyle="1" w:styleId="bold">
    <w:name w:val="bold"/>
    <w:basedOn w:val="DefaultParagraphFont"/>
    <w:rsid w:val="008321DA"/>
  </w:style>
  <w:style w:type="paragraph" w:styleId="BodyText2">
    <w:name w:val="Body Text 2"/>
    <w:basedOn w:val="Normal"/>
    <w:link w:val="BodyText2Char"/>
    <w:uiPriority w:val="99"/>
    <w:semiHidden/>
    <w:unhideWhenUsed/>
    <w:rsid w:val="006C74F4"/>
    <w:pPr>
      <w:spacing w:after="120" w:line="480" w:lineRule="auto"/>
    </w:pPr>
  </w:style>
  <w:style w:type="character" w:customStyle="1" w:styleId="BodyText2Char">
    <w:name w:val="Body Text 2 Char"/>
    <w:basedOn w:val="DefaultParagraphFont"/>
    <w:link w:val="BodyText2"/>
    <w:uiPriority w:val="99"/>
    <w:semiHidden/>
    <w:rsid w:val="006C74F4"/>
    <w:rPr>
      <w:rFonts w:asciiTheme="minorHAnsi" w:hAnsiTheme="minorHAnsi"/>
      <w:sz w:val="20"/>
    </w:rPr>
  </w:style>
  <w:style w:type="paragraph" w:styleId="Revision">
    <w:name w:val="Revision"/>
    <w:hidden/>
    <w:uiPriority w:val="99"/>
    <w:semiHidden/>
    <w:rsid w:val="00194E3F"/>
    <w:pPr>
      <w:spacing w:after="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720">
      <w:bodyDiv w:val="1"/>
      <w:marLeft w:val="0"/>
      <w:marRight w:val="0"/>
      <w:marTop w:val="0"/>
      <w:marBottom w:val="0"/>
      <w:divBdr>
        <w:top w:val="none" w:sz="0" w:space="0" w:color="auto"/>
        <w:left w:val="none" w:sz="0" w:space="0" w:color="auto"/>
        <w:bottom w:val="none" w:sz="0" w:space="0" w:color="auto"/>
        <w:right w:val="none" w:sz="0" w:space="0" w:color="auto"/>
      </w:divBdr>
    </w:div>
    <w:div w:id="165174275">
      <w:bodyDiv w:val="1"/>
      <w:marLeft w:val="0"/>
      <w:marRight w:val="0"/>
      <w:marTop w:val="0"/>
      <w:marBottom w:val="0"/>
      <w:divBdr>
        <w:top w:val="none" w:sz="0" w:space="0" w:color="auto"/>
        <w:left w:val="none" w:sz="0" w:space="0" w:color="auto"/>
        <w:bottom w:val="none" w:sz="0" w:space="0" w:color="auto"/>
        <w:right w:val="none" w:sz="0" w:space="0" w:color="auto"/>
      </w:divBdr>
    </w:div>
    <w:div w:id="254822265">
      <w:bodyDiv w:val="1"/>
      <w:marLeft w:val="0"/>
      <w:marRight w:val="0"/>
      <w:marTop w:val="0"/>
      <w:marBottom w:val="0"/>
      <w:divBdr>
        <w:top w:val="none" w:sz="0" w:space="0" w:color="auto"/>
        <w:left w:val="none" w:sz="0" w:space="0" w:color="auto"/>
        <w:bottom w:val="none" w:sz="0" w:space="0" w:color="auto"/>
        <w:right w:val="none" w:sz="0" w:space="0" w:color="auto"/>
      </w:divBdr>
    </w:div>
    <w:div w:id="285164155">
      <w:bodyDiv w:val="1"/>
      <w:marLeft w:val="0"/>
      <w:marRight w:val="0"/>
      <w:marTop w:val="0"/>
      <w:marBottom w:val="0"/>
      <w:divBdr>
        <w:top w:val="none" w:sz="0" w:space="0" w:color="auto"/>
        <w:left w:val="none" w:sz="0" w:space="0" w:color="auto"/>
        <w:bottom w:val="none" w:sz="0" w:space="0" w:color="auto"/>
        <w:right w:val="none" w:sz="0" w:space="0" w:color="auto"/>
      </w:divBdr>
    </w:div>
    <w:div w:id="405146694">
      <w:bodyDiv w:val="1"/>
      <w:marLeft w:val="0"/>
      <w:marRight w:val="0"/>
      <w:marTop w:val="0"/>
      <w:marBottom w:val="0"/>
      <w:divBdr>
        <w:top w:val="none" w:sz="0" w:space="0" w:color="auto"/>
        <w:left w:val="none" w:sz="0" w:space="0" w:color="auto"/>
        <w:bottom w:val="none" w:sz="0" w:space="0" w:color="auto"/>
        <w:right w:val="none" w:sz="0" w:space="0" w:color="auto"/>
      </w:divBdr>
    </w:div>
    <w:div w:id="851184180">
      <w:bodyDiv w:val="1"/>
      <w:marLeft w:val="0"/>
      <w:marRight w:val="0"/>
      <w:marTop w:val="0"/>
      <w:marBottom w:val="0"/>
      <w:divBdr>
        <w:top w:val="none" w:sz="0" w:space="0" w:color="auto"/>
        <w:left w:val="none" w:sz="0" w:space="0" w:color="auto"/>
        <w:bottom w:val="none" w:sz="0" w:space="0" w:color="auto"/>
        <w:right w:val="none" w:sz="0" w:space="0" w:color="auto"/>
      </w:divBdr>
    </w:div>
    <w:div w:id="865217561">
      <w:bodyDiv w:val="1"/>
      <w:marLeft w:val="0"/>
      <w:marRight w:val="0"/>
      <w:marTop w:val="0"/>
      <w:marBottom w:val="0"/>
      <w:divBdr>
        <w:top w:val="none" w:sz="0" w:space="0" w:color="auto"/>
        <w:left w:val="none" w:sz="0" w:space="0" w:color="auto"/>
        <w:bottom w:val="none" w:sz="0" w:space="0" w:color="auto"/>
        <w:right w:val="none" w:sz="0" w:space="0" w:color="auto"/>
      </w:divBdr>
    </w:div>
    <w:div w:id="990403290">
      <w:bodyDiv w:val="1"/>
      <w:marLeft w:val="0"/>
      <w:marRight w:val="0"/>
      <w:marTop w:val="0"/>
      <w:marBottom w:val="0"/>
      <w:divBdr>
        <w:top w:val="none" w:sz="0" w:space="0" w:color="auto"/>
        <w:left w:val="none" w:sz="0" w:space="0" w:color="auto"/>
        <w:bottom w:val="none" w:sz="0" w:space="0" w:color="auto"/>
        <w:right w:val="none" w:sz="0" w:space="0" w:color="auto"/>
      </w:divBdr>
    </w:div>
    <w:div w:id="1242641266">
      <w:bodyDiv w:val="1"/>
      <w:marLeft w:val="0"/>
      <w:marRight w:val="0"/>
      <w:marTop w:val="0"/>
      <w:marBottom w:val="0"/>
      <w:divBdr>
        <w:top w:val="none" w:sz="0" w:space="0" w:color="auto"/>
        <w:left w:val="none" w:sz="0" w:space="0" w:color="auto"/>
        <w:bottom w:val="none" w:sz="0" w:space="0" w:color="auto"/>
        <w:right w:val="none" w:sz="0" w:space="0" w:color="auto"/>
      </w:divBdr>
      <w:divsChild>
        <w:div w:id="1844198016">
          <w:marLeft w:val="0"/>
          <w:marRight w:val="0"/>
          <w:marTop w:val="0"/>
          <w:marBottom w:val="0"/>
          <w:divBdr>
            <w:top w:val="none" w:sz="0" w:space="0" w:color="auto"/>
            <w:left w:val="none" w:sz="0" w:space="0" w:color="auto"/>
            <w:bottom w:val="none" w:sz="0" w:space="0" w:color="auto"/>
            <w:right w:val="none" w:sz="0" w:space="0" w:color="auto"/>
          </w:divBdr>
          <w:divsChild>
            <w:div w:id="10089440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90631116">
      <w:bodyDiv w:val="1"/>
      <w:marLeft w:val="0"/>
      <w:marRight w:val="0"/>
      <w:marTop w:val="0"/>
      <w:marBottom w:val="0"/>
      <w:divBdr>
        <w:top w:val="none" w:sz="0" w:space="0" w:color="auto"/>
        <w:left w:val="none" w:sz="0" w:space="0" w:color="auto"/>
        <w:bottom w:val="none" w:sz="0" w:space="0" w:color="auto"/>
        <w:right w:val="none" w:sz="0" w:space="0" w:color="auto"/>
      </w:divBdr>
    </w:div>
    <w:div w:id="1335258660">
      <w:bodyDiv w:val="1"/>
      <w:marLeft w:val="0"/>
      <w:marRight w:val="0"/>
      <w:marTop w:val="0"/>
      <w:marBottom w:val="0"/>
      <w:divBdr>
        <w:top w:val="none" w:sz="0" w:space="0" w:color="auto"/>
        <w:left w:val="none" w:sz="0" w:space="0" w:color="auto"/>
        <w:bottom w:val="none" w:sz="0" w:space="0" w:color="auto"/>
        <w:right w:val="none" w:sz="0" w:space="0" w:color="auto"/>
      </w:divBdr>
    </w:div>
    <w:div w:id="1335646449">
      <w:bodyDiv w:val="1"/>
      <w:marLeft w:val="0"/>
      <w:marRight w:val="0"/>
      <w:marTop w:val="0"/>
      <w:marBottom w:val="0"/>
      <w:divBdr>
        <w:top w:val="none" w:sz="0" w:space="0" w:color="auto"/>
        <w:left w:val="none" w:sz="0" w:space="0" w:color="auto"/>
        <w:bottom w:val="none" w:sz="0" w:space="0" w:color="auto"/>
        <w:right w:val="none" w:sz="0" w:space="0" w:color="auto"/>
      </w:divBdr>
    </w:div>
    <w:div w:id="1596397739">
      <w:bodyDiv w:val="1"/>
      <w:marLeft w:val="0"/>
      <w:marRight w:val="0"/>
      <w:marTop w:val="0"/>
      <w:marBottom w:val="0"/>
      <w:divBdr>
        <w:top w:val="none" w:sz="0" w:space="0" w:color="auto"/>
        <w:left w:val="none" w:sz="0" w:space="0" w:color="auto"/>
        <w:bottom w:val="none" w:sz="0" w:space="0" w:color="auto"/>
        <w:right w:val="none" w:sz="0" w:space="0" w:color="auto"/>
      </w:divBdr>
    </w:div>
    <w:div w:id="20230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dm2.elpasoco.com/Planning/Policy-plan/page29.ht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ppt-kha">
  <a:themeElements>
    <a:clrScheme name="Kimley-Horn">
      <a:dk1>
        <a:srgbClr val="3F3F3F"/>
      </a:dk1>
      <a:lt1>
        <a:sysClr val="window" lastClr="FFFFFF"/>
      </a:lt1>
      <a:dk2>
        <a:srgbClr val="3A617A"/>
      </a:dk2>
      <a:lt2>
        <a:srgbClr val="BFBFBF"/>
      </a:lt2>
      <a:accent1>
        <a:srgbClr val="A20C33"/>
      </a:accent1>
      <a:accent2>
        <a:srgbClr val="71ADB7"/>
      </a:accent2>
      <a:accent3>
        <a:srgbClr val="B5C327"/>
      </a:accent3>
      <a:accent4>
        <a:srgbClr val="DE6420"/>
      </a:accent4>
      <a:accent5>
        <a:srgbClr val="FCF6B0"/>
      </a:accent5>
      <a:accent6>
        <a:srgbClr val="BFDEE0"/>
      </a:accent6>
      <a:hlink>
        <a:srgbClr val="A20C33"/>
      </a:hlink>
      <a:folHlink>
        <a:srgbClr val="A20C33"/>
      </a:folHlink>
    </a:clrScheme>
    <a:fontScheme name="Kimley-Ho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0EDBD799876449EEEA934930C7F69" ma:contentTypeVersion="13" ma:contentTypeDescription="Create a new document." ma:contentTypeScope="" ma:versionID="0d3aa6d815a45e5762232281e205312d">
  <xsd:schema xmlns:xsd="http://www.w3.org/2001/XMLSchema" xmlns:xs="http://www.w3.org/2001/XMLSchema" xmlns:p="http://schemas.microsoft.com/office/2006/metadata/properties" xmlns:ns3="c18e8617-fc0f-4dda-a87a-c0ec120ddf92" xmlns:ns4="2363043c-f3ea-4c3c-bc56-02d04fecc7a5" targetNamespace="http://schemas.microsoft.com/office/2006/metadata/properties" ma:root="true" ma:fieldsID="a5ad9e504f27488387a22b3a0d580d33" ns3:_="" ns4:_="">
    <xsd:import namespace="c18e8617-fc0f-4dda-a87a-c0ec120ddf92"/>
    <xsd:import namespace="2363043c-f3ea-4c3c-bc56-02d04fecc7a5"/>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3043c-f3ea-4c3c-bc56-02d04fec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81a52b0-d0f4-44f0-98bb-0d102f5fd161"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E794-D1CE-461A-B2A0-39C4ECBE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2363043c-f3ea-4c3c-bc56-02d04fec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86017-FB19-4412-B97A-AD3C99CFE624}">
  <ds:schemaRefs>
    <ds:schemaRef ds:uri="http://schemas.microsoft.com/sharepoint/v3/contenttype/forms"/>
  </ds:schemaRefs>
</ds:datastoreItem>
</file>

<file path=customXml/itemProps3.xml><?xml version="1.0" encoding="utf-8"?>
<ds:datastoreItem xmlns:ds="http://schemas.openxmlformats.org/officeDocument/2006/customXml" ds:itemID="{DDEA8C9A-DF31-4DC6-AF32-BBB99D7E7B19}">
  <ds:schemaRefs>
    <ds:schemaRef ds:uri="http://purl.org/dc/elements/1.1/"/>
    <ds:schemaRef ds:uri="2363043c-f3ea-4c3c-bc56-02d04fecc7a5"/>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18e8617-fc0f-4dda-a87a-c0ec120ddf92"/>
    <ds:schemaRef ds:uri="http://www.w3.org/XML/1998/namespace"/>
    <ds:schemaRef ds:uri="http://purl.org/dc/dcmitype/"/>
  </ds:schemaRefs>
</ds:datastoreItem>
</file>

<file path=customXml/itemProps4.xml><?xml version="1.0" encoding="utf-8"?>
<ds:datastoreItem xmlns:ds="http://schemas.openxmlformats.org/officeDocument/2006/customXml" ds:itemID="{CB5C10C2-C889-4353-B057-9F28D1228AB3}">
  <ds:schemaRefs>
    <ds:schemaRef ds:uri="http://schemas.microsoft.com/sharepoint/events"/>
  </ds:schemaRefs>
</ds:datastoreItem>
</file>

<file path=customXml/itemProps5.xml><?xml version="1.0" encoding="utf-8"?>
<ds:datastoreItem xmlns:ds="http://schemas.openxmlformats.org/officeDocument/2006/customXml" ds:itemID="{313C3A5F-33B9-4A77-89DC-FEC3EA7C575E}">
  <ds:schemaRefs>
    <ds:schemaRef ds:uri="Microsoft.SharePoint.Taxonomy.ContentTypeSync"/>
  </ds:schemaRefs>
</ds:datastoreItem>
</file>

<file path=customXml/itemProps6.xml><?xml version="1.0" encoding="utf-8"?>
<ds:datastoreItem xmlns:ds="http://schemas.openxmlformats.org/officeDocument/2006/customXml" ds:itemID="{98A7DD37-D88D-4AB8-9AC9-5BBDF718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Kimley-Horn and Associates</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KHA_User</dc:creator>
  <cp:keywords/>
  <cp:lastModifiedBy>Fitzpatrick, Raimere</cp:lastModifiedBy>
  <cp:revision>3</cp:revision>
  <cp:lastPrinted>2020-10-14T14:41:00Z</cp:lastPrinted>
  <dcterms:created xsi:type="dcterms:W3CDTF">2020-11-17T18:45:00Z</dcterms:created>
  <dcterms:modified xsi:type="dcterms:W3CDTF">2020-11-17T21:29:00Z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0x01010031B0EDBD799876449EEEA934930C7F69</vt:lpwstr>
  </property>
</Properties>
</file>