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D4CC3" w14:textId="3B2CEC6F" w:rsidR="00DE5FAD" w:rsidRDefault="000D24BC" w:rsidP="000D24BC">
      <w:pPr>
        <w:spacing w:after="0" w:line="276" w:lineRule="auto"/>
        <w:jc w:val="center"/>
        <w:rPr>
          <w:rFonts w:ascii="Segoe UI" w:hAnsi="Segoe UI" w:cs="Segoe UI"/>
        </w:rPr>
      </w:pPr>
      <w:r>
        <w:rPr>
          <w:rFonts w:ascii="Segoe UI" w:hAnsi="Segoe UI" w:cs="Segoe UI"/>
        </w:rPr>
        <w:t>MEMORANDUM</w:t>
      </w:r>
    </w:p>
    <w:p w14:paraId="08FA7D36" w14:textId="77777777" w:rsidR="000D24BC" w:rsidRDefault="000D24BC" w:rsidP="000D24BC">
      <w:pPr>
        <w:spacing w:after="0" w:line="276" w:lineRule="auto"/>
        <w:rPr>
          <w:rFonts w:ascii="Segoe UI" w:hAnsi="Segoe UI" w:cs="Segoe UI"/>
        </w:rPr>
      </w:pPr>
    </w:p>
    <w:p w14:paraId="44EC1772" w14:textId="098D7607" w:rsidR="000D24BC" w:rsidRDefault="000D24BC" w:rsidP="000D24BC">
      <w:pPr>
        <w:spacing w:after="0" w:line="276" w:lineRule="auto"/>
        <w:rPr>
          <w:rFonts w:ascii="Segoe UI" w:hAnsi="Segoe UI" w:cs="Segoe UI"/>
        </w:rPr>
      </w:pPr>
      <w:r>
        <w:rPr>
          <w:rFonts w:ascii="Segoe UI" w:hAnsi="Segoe UI" w:cs="Segoe UI"/>
        </w:rPr>
        <w:t>TO</w:t>
      </w:r>
      <w:proofErr w:type="gramStart"/>
      <w:r>
        <w:rPr>
          <w:rFonts w:ascii="Segoe UI" w:hAnsi="Segoe UI" w:cs="Segoe UI"/>
        </w:rPr>
        <w:t>:</w:t>
      </w:r>
      <w:r>
        <w:rPr>
          <w:rFonts w:ascii="Segoe UI" w:hAnsi="Segoe UI" w:cs="Segoe UI"/>
        </w:rPr>
        <w:tab/>
      </w:r>
      <w:r w:rsidR="007B1313">
        <w:rPr>
          <w:rFonts w:ascii="Segoe UI" w:hAnsi="Segoe UI" w:cs="Segoe UI"/>
        </w:rPr>
        <w:tab/>
      </w:r>
      <w:r>
        <w:rPr>
          <w:rFonts w:ascii="Segoe UI" w:hAnsi="Segoe UI" w:cs="Segoe UI"/>
        </w:rPr>
        <w:t>Kari</w:t>
      </w:r>
      <w:proofErr w:type="gramEnd"/>
      <w:r>
        <w:rPr>
          <w:rFonts w:ascii="Segoe UI" w:hAnsi="Segoe UI" w:cs="Segoe UI"/>
        </w:rPr>
        <w:t xml:space="preserve"> Parsons</w:t>
      </w:r>
    </w:p>
    <w:p w14:paraId="1B4D2DEC" w14:textId="5729ECD3" w:rsidR="000D24BC" w:rsidRDefault="007B1313" w:rsidP="000D24BC">
      <w:pPr>
        <w:spacing w:after="0" w:line="276" w:lineRule="auto"/>
        <w:rPr>
          <w:rFonts w:ascii="Segoe UI" w:hAnsi="Segoe UI" w:cs="Segoe UI"/>
        </w:rPr>
      </w:pPr>
      <w:r>
        <w:rPr>
          <w:rFonts w:ascii="Segoe UI" w:hAnsi="Segoe UI" w:cs="Segoe UI"/>
        </w:rPr>
        <w:t>FROM</w:t>
      </w:r>
      <w:proofErr w:type="gramStart"/>
      <w:r>
        <w:rPr>
          <w:rFonts w:ascii="Segoe UI" w:hAnsi="Segoe UI" w:cs="Segoe UI"/>
        </w:rPr>
        <w:t>:</w:t>
      </w:r>
      <w:r>
        <w:rPr>
          <w:rFonts w:ascii="Segoe UI" w:hAnsi="Segoe UI" w:cs="Segoe UI"/>
        </w:rPr>
        <w:tab/>
      </w:r>
      <w:r>
        <w:rPr>
          <w:rFonts w:ascii="Segoe UI" w:hAnsi="Segoe UI" w:cs="Segoe UI"/>
        </w:rPr>
        <w:tab/>
        <w:t>Lori</w:t>
      </w:r>
      <w:proofErr w:type="gramEnd"/>
      <w:r>
        <w:rPr>
          <w:rFonts w:ascii="Segoe UI" w:hAnsi="Segoe UI" w:cs="Segoe UI"/>
        </w:rPr>
        <w:t xml:space="preserve"> L. Seago</w:t>
      </w:r>
    </w:p>
    <w:p w14:paraId="0F3A098A" w14:textId="2B7E9911" w:rsidR="007B1313" w:rsidRDefault="007B1313" w:rsidP="000D24BC">
      <w:pPr>
        <w:spacing w:after="0" w:line="276" w:lineRule="auto"/>
        <w:rPr>
          <w:rFonts w:ascii="Segoe UI" w:hAnsi="Segoe UI" w:cs="Segoe UI"/>
        </w:rPr>
      </w:pPr>
      <w:r>
        <w:rPr>
          <w:rFonts w:ascii="Segoe UI" w:hAnsi="Segoe UI" w:cs="Segoe UI"/>
        </w:rPr>
        <w:t>DATE</w:t>
      </w:r>
      <w:proofErr w:type="gramStart"/>
      <w:r>
        <w:rPr>
          <w:rFonts w:ascii="Segoe UI" w:hAnsi="Segoe UI" w:cs="Segoe UI"/>
        </w:rPr>
        <w:t>:</w:t>
      </w:r>
      <w:r>
        <w:rPr>
          <w:rFonts w:ascii="Segoe UI" w:hAnsi="Segoe UI" w:cs="Segoe UI"/>
        </w:rPr>
        <w:tab/>
      </w:r>
      <w:r>
        <w:rPr>
          <w:rFonts w:ascii="Segoe UI" w:hAnsi="Segoe UI" w:cs="Segoe UI"/>
        </w:rPr>
        <w:tab/>
        <w:t>October</w:t>
      </w:r>
      <w:proofErr w:type="gramEnd"/>
      <w:r>
        <w:rPr>
          <w:rFonts w:ascii="Segoe UI" w:hAnsi="Segoe UI" w:cs="Segoe UI"/>
        </w:rPr>
        <w:t xml:space="preserve"> 7, 2025</w:t>
      </w:r>
    </w:p>
    <w:p w14:paraId="78C66C6E" w14:textId="7917F6F0" w:rsidR="007B1313" w:rsidRDefault="007B1313" w:rsidP="000D24BC">
      <w:pPr>
        <w:spacing w:after="0" w:line="276" w:lineRule="auto"/>
        <w:rPr>
          <w:rFonts w:ascii="Segoe UI" w:hAnsi="Segoe UI" w:cs="Segoe UI"/>
        </w:rPr>
      </w:pPr>
      <w:r>
        <w:rPr>
          <w:rFonts w:ascii="Segoe UI" w:hAnsi="Segoe UI" w:cs="Segoe UI"/>
        </w:rPr>
        <w:t xml:space="preserve">RE: </w:t>
      </w:r>
      <w:r>
        <w:rPr>
          <w:rFonts w:ascii="Segoe UI" w:hAnsi="Segoe UI" w:cs="Segoe UI"/>
        </w:rPr>
        <w:tab/>
      </w:r>
      <w:r>
        <w:rPr>
          <w:rFonts w:ascii="Segoe UI" w:hAnsi="Segoe UI" w:cs="Segoe UI"/>
        </w:rPr>
        <w:tab/>
        <w:t>PUDSP256 Sterling Ranch East Filing No. 8 (</w:t>
      </w:r>
      <w:proofErr w:type="spellStart"/>
      <w:r>
        <w:rPr>
          <w:rFonts w:ascii="Segoe UI" w:hAnsi="Segoe UI" w:cs="Segoe UI"/>
        </w:rPr>
        <w:t>fka</w:t>
      </w:r>
      <w:proofErr w:type="spellEnd"/>
      <w:r>
        <w:rPr>
          <w:rFonts w:ascii="Segoe UI" w:hAnsi="Segoe UI" w:cs="Segoe UI"/>
        </w:rPr>
        <w:t xml:space="preserve"> Foursquare at Sterling Ranch)</w:t>
      </w:r>
    </w:p>
    <w:p w14:paraId="0CA20A3D" w14:textId="77777777" w:rsidR="007B1313" w:rsidRDefault="007B1313" w:rsidP="000D24BC">
      <w:pPr>
        <w:spacing w:after="0" w:line="276" w:lineRule="auto"/>
        <w:rPr>
          <w:rFonts w:ascii="Segoe UI" w:hAnsi="Segoe UI" w:cs="Segoe UI"/>
        </w:rPr>
      </w:pPr>
    </w:p>
    <w:p w14:paraId="701E0D22" w14:textId="1644EA66" w:rsidR="00E91232" w:rsidRDefault="00BB7D29" w:rsidP="00BB7D29">
      <w:pPr>
        <w:rPr>
          <w:rFonts w:asciiTheme="minorHAnsi" w:hAnsiTheme="minorHAnsi"/>
        </w:rPr>
      </w:pPr>
      <w:r>
        <w:rPr>
          <w:rFonts w:asciiTheme="minorHAnsi" w:hAnsiTheme="minorHAnsi"/>
        </w:rPr>
        <w:t xml:space="preserve">A sufficient water supply finding was previously made by the </w:t>
      </w:r>
      <w:proofErr w:type="spellStart"/>
      <w:r>
        <w:rPr>
          <w:rFonts w:asciiTheme="minorHAnsi" w:hAnsiTheme="minorHAnsi"/>
        </w:rPr>
        <w:t>BoCC</w:t>
      </w:r>
      <w:proofErr w:type="spellEnd"/>
      <w:r>
        <w:rPr>
          <w:rFonts w:asciiTheme="minorHAnsi" w:hAnsiTheme="minorHAnsi"/>
        </w:rPr>
        <w:t xml:space="preserve"> for this subdivision under PUDSP227. Applicant now proposes a change in the water supply pursuant to LDC 8.4.7 (E). Under (E)(2), the PCD Director must make an administrative determination as to whether the proposed change in water supply is substantial. If the Director deems the proposed </w:t>
      </w:r>
      <w:proofErr w:type="gramStart"/>
      <w:r>
        <w:rPr>
          <w:rFonts w:asciiTheme="minorHAnsi" w:hAnsiTheme="minorHAnsi"/>
        </w:rPr>
        <w:t>change as</w:t>
      </w:r>
      <w:proofErr w:type="gramEnd"/>
      <w:r>
        <w:rPr>
          <w:rFonts w:asciiTheme="minorHAnsi" w:hAnsiTheme="minorHAnsi"/>
        </w:rPr>
        <w:t xml:space="preserve"> substantial, it must be approved by the Board of County Commissioners. If not, the proposed change can be approved administratively. I therefore recommend the following process:</w:t>
      </w:r>
    </w:p>
    <w:p w14:paraId="0D3B6879" w14:textId="18275247" w:rsidR="00E91232" w:rsidRDefault="00E91232" w:rsidP="00BB7D29">
      <w:pPr>
        <w:pStyle w:val="ListParagraph"/>
        <w:numPr>
          <w:ilvl w:val="0"/>
          <w:numId w:val="1"/>
        </w:numPr>
        <w:spacing w:after="0"/>
        <w:contextualSpacing w:val="0"/>
        <w:rPr>
          <w:rFonts w:asciiTheme="minorHAnsi" w:hAnsiTheme="minorHAnsi"/>
        </w:rPr>
      </w:pPr>
      <w:r>
        <w:rPr>
          <w:rFonts w:asciiTheme="minorHAnsi" w:hAnsiTheme="minorHAnsi"/>
        </w:rPr>
        <w:t>Applicant amend</w:t>
      </w:r>
      <w:r w:rsidR="00026313">
        <w:rPr>
          <w:rFonts w:asciiTheme="minorHAnsi" w:hAnsiTheme="minorHAnsi"/>
        </w:rPr>
        <w:t>s</w:t>
      </w:r>
      <w:r>
        <w:rPr>
          <w:rFonts w:asciiTheme="minorHAnsi" w:hAnsiTheme="minorHAnsi"/>
        </w:rPr>
        <w:t xml:space="preserve"> the Letter of Intent to request approval of a change in water supply pursuant to LDC § 8.4.7 (E). </w:t>
      </w:r>
      <w:proofErr w:type="gramStart"/>
      <w:r w:rsidR="00026313">
        <w:rPr>
          <w:rFonts w:asciiTheme="minorHAnsi" w:hAnsiTheme="minorHAnsi"/>
        </w:rPr>
        <w:t>Applicant</w:t>
      </w:r>
      <w:proofErr w:type="gramEnd"/>
      <w:r w:rsidR="00026313">
        <w:rPr>
          <w:rFonts w:asciiTheme="minorHAnsi" w:hAnsiTheme="minorHAnsi"/>
        </w:rPr>
        <w:t xml:space="preserve"> should address the </w:t>
      </w:r>
      <w:r w:rsidR="00F0227C">
        <w:rPr>
          <w:rFonts w:asciiTheme="minorHAnsi" w:hAnsiTheme="minorHAnsi"/>
        </w:rPr>
        <w:t>basis for the increase in estimated demand despite the reduction in number of single-family lots.</w:t>
      </w:r>
    </w:p>
    <w:p w14:paraId="74A6D488" w14:textId="4CA942CD" w:rsidR="00BB7D29" w:rsidRDefault="00BB7D29" w:rsidP="00BB7D29">
      <w:pPr>
        <w:pStyle w:val="ListParagraph"/>
        <w:numPr>
          <w:ilvl w:val="0"/>
          <w:numId w:val="1"/>
        </w:numPr>
        <w:spacing w:after="0"/>
        <w:contextualSpacing w:val="0"/>
        <w:rPr>
          <w:rFonts w:asciiTheme="minorHAnsi" w:hAnsiTheme="minorHAnsi"/>
        </w:rPr>
      </w:pPr>
      <w:r>
        <w:rPr>
          <w:rFonts w:asciiTheme="minorHAnsi" w:hAnsiTheme="minorHAnsi"/>
        </w:rPr>
        <w:t>PCD Director makes an administrative determination as to whether the proposed change in water supply for this subdivision is substantial. It is my recommendation that the change is not substantial, since the proposed increased in the estimated water demand is less than 10% (from 50.73 AF/year to 55.69 AF/year</w:t>
      </w:r>
      <w:r w:rsidR="00F0227C">
        <w:rPr>
          <w:rFonts w:asciiTheme="minorHAnsi" w:hAnsiTheme="minorHAnsi"/>
        </w:rPr>
        <w:t xml:space="preserve"> in the current documentation</w:t>
      </w:r>
      <w:r>
        <w:rPr>
          <w:rFonts w:asciiTheme="minorHAnsi" w:hAnsiTheme="minorHAnsi"/>
        </w:rPr>
        <w:t>).</w:t>
      </w:r>
    </w:p>
    <w:p w14:paraId="3F3451C1" w14:textId="71D543F7" w:rsidR="00BB7D29" w:rsidRDefault="00BB7D29" w:rsidP="00BB7D29">
      <w:pPr>
        <w:pStyle w:val="ListParagraph"/>
        <w:numPr>
          <w:ilvl w:val="0"/>
          <w:numId w:val="1"/>
        </w:numPr>
        <w:spacing w:after="0"/>
        <w:contextualSpacing w:val="0"/>
        <w:rPr>
          <w:rFonts w:asciiTheme="minorHAnsi" w:hAnsiTheme="minorHAnsi"/>
        </w:rPr>
      </w:pPr>
      <w:r>
        <w:rPr>
          <w:rFonts w:asciiTheme="minorHAnsi" w:hAnsiTheme="minorHAnsi"/>
        </w:rPr>
        <w:t xml:space="preserve">If the Director determines that the change is substantial, I recommend </w:t>
      </w:r>
      <w:r w:rsidR="00781AC4">
        <w:rPr>
          <w:rFonts w:asciiTheme="minorHAnsi" w:hAnsiTheme="minorHAnsi"/>
        </w:rPr>
        <w:t xml:space="preserve">the applicant be required to provide a Water Resource Report detailing the estimated demand and that </w:t>
      </w:r>
      <w:r>
        <w:rPr>
          <w:rFonts w:asciiTheme="minorHAnsi" w:hAnsiTheme="minorHAnsi"/>
        </w:rPr>
        <w:t>the application be referred back to my office for a more detailed review for consideration by the Board of County Commissioners, pursuant to § 8.4.7 (E)(3).</w:t>
      </w:r>
    </w:p>
    <w:p w14:paraId="553125C4" w14:textId="77777777" w:rsidR="00BB7D29" w:rsidRDefault="00BB7D29" w:rsidP="00BB7D29">
      <w:pPr>
        <w:pStyle w:val="ListParagraph"/>
        <w:numPr>
          <w:ilvl w:val="0"/>
          <w:numId w:val="1"/>
        </w:numPr>
        <w:spacing w:after="0"/>
        <w:contextualSpacing w:val="0"/>
        <w:rPr>
          <w:rFonts w:asciiTheme="minorHAnsi" w:hAnsiTheme="minorHAnsi"/>
        </w:rPr>
      </w:pPr>
      <w:r>
        <w:rPr>
          <w:rFonts w:asciiTheme="minorHAnsi" w:hAnsiTheme="minorHAnsi"/>
        </w:rPr>
        <w:t xml:space="preserve">If the Director determines that the changs is not substantial, I recommend that the Director approve the requested change in water supply pursuant to § 8.4.7 (E)(4). I further recommend that a) such approval be conditioned on a favorable recommendation from the Colorado Division of Water Resources and b) the </w:t>
      </w:r>
      <w:proofErr w:type="spellStart"/>
      <w:r>
        <w:rPr>
          <w:rFonts w:asciiTheme="minorHAnsi" w:hAnsiTheme="minorHAnsi"/>
        </w:rPr>
        <w:t>BoCC</w:t>
      </w:r>
      <w:proofErr w:type="spellEnd"/>
      <w:r>
        <w:rPr>
          <w:rFonts w:asciiTheme="minorHAnsi" w:hAnsiTheme="minorHAnsi"/>
        </w:rPr>
        <w:t xml:space="preserve"> be advised in the staff report and in the public hearing that no finding of sufficient water supply is required with this application because water sufficiency was previously found and a change in water supply was administratively approved.</w:t>
      </w:r>
    </w:p>
    <w:p w14:paraId="0B7A28E6" w14:textId="6378F295" w:rsidR="003754EE" w:rsidRPr="003754EE" w:rsidRDefault="003754EE" w:rsidP="003324C3">
      <w:pPr>
        <w:spacing w:line="360" w:lineRule="auto"/>
      </w:pPr>
    </w:p>
    <w:sectPr w:rsidR="003754EE" w:rsidRPr="003754EE" w:rsidSect="00DE5FAD">
      <w:footerReference w:type="default" r:id="rId10"/>
      <w:headerReference w:type="first" r:id="rId11"/>
      <w:footerReference w:type="first" r:id="rId12"/>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285677" w14:textId="77777777" w:rsidR="00035E9F" w:rsidRDefault="00035E9F" w:rsidP="003754EE">
      <w:pPr>
        <w:spacing w:after="0"/>
      </w:pPr>
      <w:r>
        <w:separator/>
      </w:r>
    </w:p>
  </w:endnote>
  <w:endnote w:type="continuationSeparator" w:id="0">
    <w:p w14:paraId="694277CB" w14:textId="77777777" w:rsidR="00035E9F" w:rsidRDefault="00035E9F" w:rsidP="003754EE">
      <w:pPr>
        <w:spacing w:after="0"/>
      </w:pPr>
      <w:r>
        <w:continuationSeparator/>
      </w:r>
    </w:p>
  </w:endnote>
  <w:endnote w:type="continuationNotice" w:id="1">
    <w:p w14:paraId="69E10119" w14:textId="77777777" w:rsidR="00035E9F" w:rsidRDefault="00035E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altName w:val="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6E4E7EB"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B62F" w14:textId="77777777" w:rsidR="00DE5FAD" w:rsidRDefault="00DE5FAD" w:rsidP="00DE5FAD">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6632E658"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2F75F0C8" w14:textId="77777777" w:rsidR="00DE5FAD" w:rsidRPr="00D42FF0"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r w:rsidRPr="00D42FF0">
      <w:rPr>
        <w:rFonts w:ascii="Times New Roman" w:hAnsi="Times New Roman" w:cs="Times New Roman"/>
        <w:sz w:val="20"/>
        <w:szCs w:val="20"/>
      </w:rPr>
      <w:t>200 South Cascade Avenue | Colorado Springs, Colorado</w:t>
    </w:r>
    <w:r>
      <w:rPr>
        <w:rFonts w:ascii="Times New Roman" w:hAnsi="Times New Roman" w:cs="Times New Roman"/>
        <w:sz w:val="20"/>
        <w:szCs w:val="20"/>
      </w:rPr>
      <w:t xml:space="preserve"> |</w:t>
    </w:r>
    <w:r w:rsidRPr="00D42FF0">
      <w:rPr>
        <w:rFonts w:ascii="Times New Roman" w:hAnsi="Times New Roman" w:cs="Times New Roman"/>
        <w:sz w:val="20"/>
        <w:szCs w:val="20"/>
      </w:rPr>
      <w:t xml:space="preserve"> 80903</w:t>
    </w:r>
  </w:p>
  <w:p w14:paraId="742101D0" w14:textId="6C214047" w:rsid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r w:rsidRPr="00D42FF0">
      <w:rPr>
        <w:rFonts w:ascii="Times New Roman" w:hAnsi="Times New Roman" w:cs="Times New Roman"/>
        <w:sz w:val="20"/>
        <w:szCs w:val="20"/>
      </w:rPr>
      <w:t>Office: 719.520.6485 | Fax: 719.520.6487</w:t>
    </w:r>
  </w:p>
  <w:p w14:paraId="23B3294A"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42265" w14:textId="77777777" w:rsidR="00035E9F" w:rsidRDefault="00035E9F" w:rsidP="003754EE">
      <w:pPr>
        <w:spacing w:after="0"/>
      </w:pPr>
      <w:r>
        <w:separator/>
      </w:r>
    </w:p>
  </w:footnote>
  <w:footnote w:type="continuationSeparator" w:id="0">
    <w:p w14:paraId="1CCEC405" w14:textId="77777777" w:rsidR="00035E9F" w:rsidRDefault="00035E9F" w:rsidP="003754EE">
      <w:pPr>
        <w:spacing w:after="0"/>
      </w:pPr>
      <w:r>
        <w:continuationSeparator/>
      </w:r>
    </w:p>
  </w:footnote>
  <w:footnote w:type="continuationNotice" w:id="1">
    <w:p w14:paraId="6FE4D0BC" w14:textId="77777777" w:rsidR="00035E9F" w:rsidRDefault="00035E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311CC08">
          <wp:extent cx="2973116" cy="750787"/>
          <wp:effectExtent l="0" t="0" r="0" b="0"/>
          <wp:docPr id="102306128" name="Picture 3" descr="El Paso County Office of the County Attorney-Civil Divis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Office of the County Attorney-Civil Division Logo"/>
                  <pic:cNvPicPr/>
                </pic:nvPicPr>
                <pic:blipFill>
                  <a:blip r:embed="rId1">
                    <a:extLst>
                      <a:ext uri="{28A0092B-C50C-407E-A947-70E740481C1C}">
                        <a14:useLocalDpi xmlns:a14="http://schemas.microsoft.com/office/drawing/2010/main" val="0"/>
                      </a:ext>
                    </a:extLst>
                  </a:blip>
                  <a:stretch>
                    <a:fillRect/>
                  </a:stretch>
                </pic:blipFill>
                <pic:spPr>
                  <a:xfrm>
                    <a:off x="0" y="0"/>
                    <a:ext cx="2973116" cy="750787"/>
                  </a:xfrm>
                  <a:prstGeom prst="rect">
                    <a:avLst/>
                  </a:prstGeom>
                </pic:spPr>
              </pic:pic>
            </a:graphicData>
          </a:graphic>
        </wp:inline>
      </w:drawing>
    </w:r>
  </w:p>
  <w:p w14:paraId="656BDEA8" w14:textId="77777777" w:rsidR="00DE5FAD" w:rsidRPr="00010338" w:rsidRDefault="00DE5FAD"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sidRPr="00010338">
      <w:rPr>
        <w:rFonts w:ascii="Times New Roman" w:hAnsi="Times New Roman" w:cs="Times New Roman"/>
        <w:b/>
        <w:bCs/>
        <w:sz w:val="20"/>
        <w:szCs w:val="20"/>
      </w:rPr>
      <w:t>KENNETH R. HODGES, COUNTY ATTORNEY</w:t>
    </w:r>
  </w:p>
  <w:p w14:paraId="6E08C4F5" w14:textId="1684C26C" w:rsidR="00DE5FAD" w:rsidRPr="00DE5FAD" w:rsidRDefault="006F0871" w:rsidP="006F0871">
    <w:pPr>
      <w:pStyle w:val="Header"/>
      <w:tabs>
        <w:tab w:val="clear" w:pos="4680"/>
      </w:tabs>
      <w:spacing w:line="360" w:lineRule="auto"/>
      <w:jc w:val="center"/>
    </w:pPr>
    <w:r w:rsidRPr="006F0871">
      <w:rPr>
        <w:rFonts w:ascii="Times New Roman" w:hAnsi="Times New Roman" w:cs="Times New Roman"/>
        <w:sz w:val="20"/>
        <w:szCs w:val="20"/>
      </w:rPr>
      <w:t>Nathan J. Whitney, First Assistant County Attorney | Steven A. Klaffky, Chief Deputy County Attorney</w:t>
    </w:r>
    <w:r w:rsidR="00DE5FAD">
      <w:rPr>
        <w:noProof/>
      </w:rPr>
      <mc:AlternateContent>
        <mc:Choice Requires="wps">
          <w:drawing>
            <wp:inline distT="0" distB="0" distL="0" distR="0" wp14:anchorId="20781B31" wp14:editId="3AB7E30B">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ln w="5715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5F9E8D7"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" strokecolor="#002d5d" strokeweight="4.5pt">
              <v:stroke joinstyle="miter"/>
              <w10:anchorlock/>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A1C69"/>
    <w:multiLevelType w:val="hybridMultilevel"/>
    <w:tmpl w:val="7EE0B8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3064730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26313"/>
    <w:rsid w:val="00027B55"/>
    <w:rsid w:val="00035E9F"/>
    <w:rsid w:val="000B2AC9"/>
    <w:rsid w:val="000C0EA0"/>
    <w:rsid w:val="000D24BC"/>
    <w:rsid w:val="000D4892"/>
    <w:rsid w:val="000F1487"/>
    <w:rsid w:val="00117408"/>
    <w:rsid w:val="001344CE"/>
    <w:rsid w:val="00170306"/>
    <w:rsid w:val="001B1267"/>
    <w:rsid w:val="001C361B"/>
    <w:rsid w:val="001D0175"/>
    <w:rsid w:val="001D5EC3"/>
    <w:rsid w:val="002240AA"/>
    <w:rsid w:val="002462B6"/>
    <w:rsid w:val="00262901"/>
    <w:rsid w:val="002652DB"/>
    <w:rsid w:val="00275503"/>
    <w:rsid w:val="00292B21"/>
    <w:rsid w:val="0029543E"/>
    <w:rsid w:val="002F671E"/>
    <w:rsid w:val="003324C3"/>
    <w:rsid w:val="003754EE"/>
    <w:rsid w:val="003B0651"/>
    <w:rsid w:val="003C0205"/>
    <w:rsid w:val="003C4B96"/>
    <w:rsid w:val="003F68AA"/>
    <w:rsid w:val="0040694F"/>
    <w:rsid w:val="00417422"/>
    <w:rsid w:val="00425C95"/>
    <w:rsid w:val="0046006F"/>
    <w:rsid w:val="004A2FE0"/>
    <w:rsid w:val="004A7933"/>
    <w:rsid w:val="004C398C"/>
    <w:rsid w:val="00592791"/>
    <w:rsid w:val="0062651E"/>
    <w:rsid w:val="00682C0E"/>
    <w:rsid w:val="006C4C6A"/>
    <w:rsid w:val="006D1A63"/>
    <w:rsid w:val="006F0871"/>
    <w:rsid w:val="00710487"/>
    <w:rsid w:val="007337FC"/>
    <w:rsid w:val="00781AC4"/>
    <w:rsid w:val="007B1313"/>
    <w:rsid w:val="007B2708"/>
    <w:rsid w:val="007B373E"/>
    <w:rsid w:val="007F7992"/>
    <w:rsid w:val="00820791"/>
    <w:rsid w:val="0087456F"/>
    <w:rsid w:val="008B2CE4"/>
    <w:rsid w:val="008E34B9"/>
    <w:rsid w:val="00901C9D"/>
    <w:rsid w:val="009032FC"/>
    <w:rsid w:val="0094027D"/>
    <w:rsid w:val="00963E82"/>
    <w:rsid w:val="0096764F"/>
    <w:rsid w:val="00970D77"/>
    <w:rsid w:val="009B6451"/>
    <w:rsid w:val="009D6232"/>
    <w:rsid w:val="00AC7CA8"/>
    <w:rsid w:val="00B102DD"/>
    <w:rsid w:val="00B32078"/>
    <w:rsid w:val="00B51FE3"/>
    <w:rsid w:val="00B6477B"/>
    <w:rsid w:val="00BA35FE"/>
    <w:rsid w:val="00BA55EA"/>
    <w:rsid w:val="00BB231A"/>
    <w:rsid w:val="00BB7D29"/>
    <w:rsid w:val="00C6013F"/>
    <w:rsid w:val="00D13FF0"/>
    <w:rsid w:val="00D42FF0"/>
    <w:rsid w:val="00D73E8E"/>
    <w:rsid w:val="00D861DF"/>
    <w:rsid w:val="00DC3494"/>
    <w:rsid w:val="00DE5FAD"/>
    <w:rsid w:val="00E8178A"/>
    <w:rsid w:val="00E91232"/>
    <w:rsid w:val="00EA7EDB"/>
    <w:rsid w:val="00EC17D3"/>
    <w:rsid w:val="00F0227C"/>
    <w:rsid w:val="00F14E9C"/>
    <w:rsid w:val="00F300E0"/>
    <w:rsid w:val="00F32471"/>
    <w:rsid w:val="00F350E5"/>
    <w:rsid w:val="00F35398"/>
    <w:rsid w:val="00F419B2"/>
    <w:rsid w:val="00F7386D"/>
    <w:rsid w:val="00F86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7B373E"/>
    <w:pPr>
      <w:keepNext/>
      <w:keepLines/>
      <w:spacing w:before="360" w:after="80"/>
      <w:outlineLvl w:val="0"/>
    </w:pPr>
    <w:rPr>
      <w:rFonts w:eastAsiaTheme="majorEastAsia" w:cstheme="majorBidi"/>
      <w:color w:val="0074B7"/>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7B373E"/>
    <w:rPr>
      <w:rFonts w:ascii="Open Sans" w:eastAsiaTheme="majorEastAsia" w:hAnsi="Open Sans" w:cstheme="majorBidi"/>
      <w:color w:val="0074B7"/>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Props1.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3.xml><?xml version="1.0" encoding="utf-8"?>
<ds:datastoreItem xmlns:ds="http://schemas.openxmlformats.org/officeDocument/2006/customXml" ds:itemID="{7E73D13B-1E8B-4157-BBCF-AD8AA90AEE4D}">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324</Words>
  <Characters>1848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El Paso County, Colorado</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Communications Letterhead Template</dc:title>
  <dc:subject/>
  <dc:creator>AmyJo Fields</dc:creator>
  <cp:keywords/>
  <dc:description/>
  <cp:lastModifiedBy>Lori Seago</cp:lastModifiedBy>
  <cp:revision>9</cp:revision>
  <cp:lastPrinted>2024-10-28T20:40:00Z</cp:lastPrinted>
  <dcterms:created xsi:type="dcterms:W3CDTF">2025-10-07T21:24:00Z</dcterms:created>
  <dcterms:modified xsi:type="dcterms:W3CDTF">2025-10-07T21:32:00Z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ies>
</file>