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an exclusion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19E2DCB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 xml:space="preserve">Project Name: </w:t>
            </w:r>
            <w:r w:rsidR="00BE5D08" w:rsidRPr="00BE5D08">
              <w:rPr>
                <w:rFonts w:ascii="Trebuchet MS" w:eastAsia="MS Mincho" w:hAnsi="Trebuchet MS"/>
                <w:b/>
              </w:rPr>
              <w:t>Vehicle Repair, 4250 Hancock</w:t>
            </w:r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77777777" w:rsidR="00C14FF9" w:rsidRPr="000B46BA" w:rsidRDefault="00C14FF9" w:rsidP="00606333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2. El Paso County Project #:</w:t>
            </w:r>
          </w:p>
        </w:tc>
        <w:tc>
          <w:tcPr>
            <w:tcW w:w="5873" w:type="dxa"/>
          </w:tcPr>
          <w:p w14:paraId="6877FFE3" w14:textId="7777777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>
              <w:rPr>
                <w:rFonts w:ascii="Trebuchet MS" w:eastAsia="MS Mincho" w:hAnsi="Trebuchet MS"/>
                <w:b/>
              </w:rPr>
              <w:t>ESQCP</w:t>
            </w:r>
            <w:r w:rsidRPr="000B46BA">
              <w:rPr>
                <w:rFonts w:ascii="Trebuchet MS" w:eastAsia="MS Mincho" w:hAnsi="Trebuchet MS"/>
                <w:b/>
              </w:rPr>
              <w:t xml:space="preserve"> #: 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02C25E5C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  <w:r w:rsidR="001102F0">
              <w:rPr>
                <w:rFonts w:ascii="Trebuchet MS" w:hAnsi="Trebuchet MS"/>
                <w:b/>
              </w:rPr>
              <w:t>4250 Hancock Expr</w:t>
            </w:r>
            <w:r w:rsidR="00BE5D08">
              <w:rPr>
                <w:rFonts w:ascii="Trebuchet MS" w:hAnsi="Trebuchet MS"/>
                <w:b/>
              </w:rPr>
              <w:t>, 80911</w:t>
            </w:r>
          </w:p>
        </w:tc>
        <w:tc>
          <w:tcPr>
            <w:tcW w:w="5873" w:type="dxa"/>
          </w:tcPr>
          <w:p w14:paraId="4F01D666" w14:textId="475AB07D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 in MS4 Permit Area (Y or N):</w:t>
            </w:r>
            <w:r w:rsidR="001102F0">
              <w:rPr>
                <w:rFonts w:ascii="Trebuchet MS" w:hAnsi="Trebuchet MS"/>
                <w:b/>
              </w:rPr>
              <w:t xml:space="preserve"> n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2D1C574C" w14:textId="4F681333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  <w:r w:rsidR="001102F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Conversion of use</w:t>
            </w: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A.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58BF302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4679A3F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6C243084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1F40F16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9790788" w14:textId="39A7405B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0BC1470" w14:textId="605CA405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CB964B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F5A99E7" w14:textId="5D0D4029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30C091C" w14:textId="606357C2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9786B7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BC03C20" w14:textId="5E2A98C6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lastRenderedPageBreak/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2333C1F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6D19C4E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4BF11748" w14:textId="13A4F900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353B9C32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3F4F46D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4AE3F325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5FA786D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25F3A923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3E13821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216" w:type="dxa"/>
          </w:tcPr>
          <w:p w14:paraId="0DC6B149" w14:textId="0FAC5D43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216" w:type="dxa"/>
          </w:tcPr>
          <w:p w14:paraId="0E8C44F4" w14:textId="628299FF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>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32CBCFA1" w14:textId="74982296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1E4545F" w14:textId="38B78C8F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A78ED4C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6F3E21B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3A0C3CF3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632C49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2F508D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>be maintained by another MS4?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>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7FFDAA85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77777777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876F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0534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A65F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98686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0"/>
      <w:footerReference w:type="default" r:id="rId11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425C" w14:textId="77777777" w:rsidR="0021472E" w:rsidRDefault="0021472E" w:rsidP="00FE5982">
      <w:pPr>
        <w:spacing w:after="0" w:line="240" w:lineRule="auto"/>
      </w:pPr>
      <w:r>
        <w:separator/>
      </w:r>
    </w:p>
  </w:endnote>
  <w:endnote w:type="continuationSeparator" w:id="0">
    <w:p w14:paraId="5B1BE1DA" w14:textId="77777777" w:rsidR="0021472E" w:rsidRDefault="0021472E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2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DD52" w14:textId="77777777" w:rsidR="0021472E" w:rsidRDefault="0021472E" w:rsidP="00FE5982">
      <w:pPr>
        <w:spacing w:after="0" w:line="240" w:lineRule="auto"/>
      </w:pPr>
      <w:r>
        <w:separator/>
      </w:r>
    </w:p>
  </w:footnote>
  <w:footnote w:type="continuationSeparator" w:id="0">
    <w:p w14:paraId="64868433" w14:textId="77777777" w:rsidR="0021472E" w:rsidRDefault="0021472E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 w15:restartNumberingAfterBreak="0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 w15:restartNumberingAfterBreak="0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 w15:restartNumberingAfterBreak="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 w15:restartNumberingAfterBreak="0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82"/>
    <w:rsid w:val="00000995"/>
    <w:rsid w:val="00007023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2F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472E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7FF9"/>
    <w:rsid w:val="002D677C"/>
    <w:rsid w:val="002D6A8E"/>
    <w:rsid w:val="002E1108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C7A21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5D2C"/>
    <w:rsid w:val="00585F9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4F32"/>
    <w:rsid w:val="005D38A4"/>
    <w:rsid w:val="005D7F02"/>
    <w:rsid w:val="005E1C06"/>
    <w:rsid w:val="005E40D6"/>
    <w:rsid w:val="0060448B"/>
    <w:rsid w:val="00605A4B"/>
    <w:rsid w:val="00606333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92859"/>
    <w:rsid w:val="006A223E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41EA5"/>
    <w:rsid w:val="00A4454D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5BD6"/>
    <w:rsid w:val="00AD2968"/>
    <w:rsid w:val="00AE1C4C"/>
    <w:rsid w:val="00AE2275"/>
    <w:rsid w:val="00B122EF"/>
    <w:rsid w:val="00B211BC"/>
    <w:rsid w:val="00B23DC2"/>
    <w:rsid w:val="00B33611"/>
    <w:rsid w:val="00B37516"/>
    <w:rsid w:val="00B377FA"/>
    <w:rsid w:val="00B4634B"/>
    <w:rsid w:val="00B4721F"/>
    <w:rsid w:val="00B5405D"/>
    <w:rsid w:val="00B6021D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790C"/>
    <w:rsid w:val="00BD08F2"/>
    <w:rsid w:val="00BD2449"/>
    <w:rsid w:val="00BD6CAA"/>
    <w:rsid w:val="00BE1273"/>
    <w:rsid w:val="00BE255A"/>
    <w:rsid w:val="00BE40E4"/>
    <w:rsid w:val="00BE4335"/>
    <w:rsid w:val="00BE5D08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6A5B0"/>
  <w15:docId w15:val="{AF1D6554-BEC2-4D4A-983A-4D76686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6C620-CD9B-4477-97CE-6E67E213A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47B3F-AAD5-4025-A945-7E76D733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Robert Cummings</cp:lastModifiedBy>
  <cp:revision>3</cp:revision>
  <cp:lastPrinted>2018-12-11T14:10:00Z</cp:lastPrinted>
  <dcterms:created xsi:type="dcterms:W3CDTF">2020-08-27T14:55:00Z</dcterms:created>
  <dcterms:modified xsi:type="dcterms:W3CDTF">2020-09-04T03:46:00Z</dcterms:modified>
</cp:coreProperties>
</file>