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&#13;&#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926D9C0" w:rsidR="004901E2" w:rsidRDefault="004901E2" w:rsidP="004901E2">
      <w:r>
        <w:rPr>
          <w:b/>
          <w:bCs/>
          <w:sz w:val="32"/>
          <w:szCs w:val="32"/>
        </w:rPr>
        <w:t xml:space="preserve">        </w:t>
      </w:r>
      <w:r w:rsidRPr="00C637B2">
        <w:rPr>
          <w:b/>
          <w:bCs/>
          <w:sz w:val="32"/>
          <w:szCs w:val="32"/>
        </w:rPr>
        <w:t xml:space="preserve">Lieutenant/Fire </w:t>
      </w:r>
      <w:r w:rsidR="00FA052C">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3"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45A68A02" w14:textId="695FE59B" w:rsidR="009F58D8" w:rsidRPr="00C2393E" w:rsidRDefault="009F58D8" w:rsidP="009F58D8">
      <w:r w:rsidRPr="00C2393E">
        <w:t xml:space="preserve">Date: </w:t>
      </w:r>
      <w:r w:rsidR="00476795">
        <w:t>Ma</w:t>
      </w:r>
      <w:r w:rsidR="0091735F">
        <w:t>y 6</w:t>
      </w:r>
      <w:r w:rsidR="00FA052C" w:rsidRPr="00C2393E">
        <w:t>, 2026</w:t>
      </w:r>
    </w:p>
    <w:p w14:paraId="210951DC" w14:textId="77777777" w:rsidR="009F58D8" w:rsidRPr="00C2393E" w:rsidRDefault="009F58D8" w:rsidP="009F58D8"/>
    <w:p w14:paraId="26871752" w14:textId="77777777" w:rsidR="00A72D1D" w:rsidRPr="00A8694B" w:rsidRDefault="00A72D1D" w:rsidP="00A72D1D">
      <w:r w:rsidRPr="00A8694B">
        <w:t>To: EDARP</w:t>
      </w:r>
      <w:r w:rsidRPr="00A8694B">
        <w:tab/>
      </w:r>
      <w:r w:rsidRPr="00A8694B">
        <w:tab/>
      </w:r>
    </w:p>
    <w:p w14:paraId="27966168" w14:textId="0291ACFF" w:rsidR="00A72D1D" w:rsidRPr="00A40078" w:rsidRDefault="00A72D1D" w:rsidP="00A72D1D">
      <w:r w:rsidRPr="00A8694B">
        <w:t>C/O:</w:t>
      </w:r>
      <w:r>
        <w:t xml:space="preserve"> </w:t>
      </w:r>
      <w:r w:rsidR="003715FE">
        <w:t>Joe Letke</w:t>
      </w:r>
    </w:p>
    <w:p w14:paraId="4F23AA99" w14:textId="77777777" w:rsidR="00A72D1D" w:rsidRPr="00A40078" w:rsidRDefault="00A72D1D" w:rsidP="00A72D1D">
      <w:r w:rsidRPr="00A40078">
        <w:t>Planning &amp; Community Development</w:t>
      </w:r>
    </w:p>
    <w:p w14:paraId="265484ED" w14:textId="77777777" w:rsidR="00A72D1D" w:rsidRPr="00A40078" w:rsidRDefault="00A72D1D" w:rsidP="00A72D1D">
      <w:r w:rsidRPr="00A40078">
        <w:t>2882 International Circle, Suite 110</w:t>
      </w:r>
    </w:p>
    <w:p w14:paraId="137C4DAB" w14:textId="2E91028F" w:rsidR="00A72D1D" w:rsidRDefault="00A72D1D" w:rsidP="00A72D1D">
      <w:r w:rsidRPr="00A40078">
        <w:t>Colorado Springs, CO 80910</w:t>
      </w:r>
    </w:p>
    <w:p w14:paraId="22BC5D3C" w14:textId="77BE898D" w:rsidR="00A72D1D" w:rsidRPr="00A40078" w:rsidRDefault="00A72D1D" w:rsidP="00A72D1D">
      <w:r>
        <w:t>Phone: 719-520-</w:t>
      </w:r>
      <w:r w:rsidR="00753471">
        <w:t>7964</w:t>
      </w:r>
    </w:p>
    <w:p w14:paraId="50D35A01" w14:textId="0D4901F5" w:rsidR="009F58D8" w:rsidRPr="00C2393E" w:rsidRDefault="00A72D1D" w:rsidP="009F58D8">
      <w:r w:rsidRPr="00A40078">
        <w:t xml:space="preserve">Email: </w:t>
      </w:r>
      <w:hyperlink r:id="rId14" w:history="1">
        <w:r w:rsidR="00C15F43" w:rsidRPr="00F454AD">
          <w:rPr>
            <w:rStyle w:val="Hyperlink"/>
          </w:rPr>
          <w:t>joeketke@elpasoco.com</w:t>
        </w:r>
      </w:hyperlink>
    </w:p>
    <w:p w14:paraId="5730BB58" w14:textId="77777777" w:rsidR="009F58D8" w:rsidRPr="00C2393E" w:rsidRDefault="009F58D8" w:rsidP="009F58D8"/>
    <w:p w14:paraId="038FF6CA" w14:textId="79F0AD12" w:rsidR="009F58D8" w:rsidRPr="00C2393E" w:rsidRDefault="009F58D8" w:rsidP="009F58D8">
      <w:pPr>
        <w:rPr>
          <w:b/>
        </w:rPr>
      </w:pPr>
      <w:r w:rsidRPr="00C2393E">
        <w:rPr>
          <w:b/>
        </w:rPr>
        <w:t xml:space="preserve">Project Name: </w:t>
      </w:r>
      <w:r w:rsidR="00547C90">
        <w:rPr>
          <w:b/>
        </w:rPr>
        <w:t>Sunrise Dirt Works Variance of Use</w:t>
      </w:r>
      <w:r w:rsidR="002326BA">
        <w:rPr>
          <w:b/>
        </w:rPr>
        <w:t xml:space="preserve"> </w:t>
      </w:r>
    </w:p>
    <w:p w14:paraId="44FB525D" w14:textId="7838B7EC" w:rsidR="009F58D8" w:rsidRPr="00C2393E" w:rsidRDefault="009F58D8" w:rsidP="009F58D8">
      <w:pPr>
        <w:rPr>
          <w:b/>
        </w:rPr>
      </w:pPr>
      <w:r w:rsidRPr="00C2393E">
        <w:rPr>
          <w:b/>
        </w:rPr>
        <w:t xml:space="preserve">File Prefix: </w:t>
      </w:r>
      <w:r w:rsidR="008F5C12">
        <w:rPr>
          <w:b/>
        </w:rPr>
        <w:t>VA-Variance of Use</w:t>
      </w:r>
    </w:p>
    <w:p w14:paraId="78938F5A" w14:textId="7A868B7C" w:rsidR="009F58D8" w:rsidRPr="00C2393E" w:rsidRDefault="009F58D8" w:rsidP="009F58D8">
      <w:pPr>
        <w:rPr>
          <w:b/>
        </w:rPr>
      </w:pPr>
      <w:r w:rsidRPr="00C2393E">
        <w:rPr>
          <w:b/>
        </w:rPr>
        <w:t xml:space="preserve">Parcel/s: </w:t>
      </w:r>
      <w:r w:rsidR="009A7C6A">
        <w:rPr>
          <w:b/>
        </w:rPr>
        <w:t>4319001049</w:t>
      </w:r>
    </w:p>
    <w:p w14:paraId="4FEF5A2B" w14:textId="5F1B7905" w:rsidR="009F58D8" w:rsidRPr="00C2393E" w:rsidRDefault="009F58D8" w:rsidP="009F58D8">
      <w:pPr>
        <w:rPr>
          <w:b/>
        </w:rPr>
      </w:pPr>
      <w:r w:rsidRPr="00C2393E">
        <w:rPr>
          <w:b/>
        </w:rPr>
        <w:t xml:space="preserve">File Number: </w:t>
      </w:r>
      <w:r w:rsidR="00830A50">
        <w:rPr>
          <w:b/>
        </w:rPr>
        <w:t>VA26</w:t>
      </w:r>
      <w:r w:rsidR="009A7C6A">
        <w:rPr>
          <w:b/>
        </w:rPr>
        <w:t>6</w:t>
      </w:r>
    </w:p>
    <w:p w14:paraId="2C6301CF" w14:textId="77777777" w:rsidR="009F58D8" w:rsidRPr="00C2393E" w:rsidRDefault="009F58D8" w:rsidP="009F58D8">
      <w:pPr>
        <w:rPr>
          <w:b/>
        </w:rPr>
      </w:pPr>
    </w:p>
    <w:p w14:paraId="0C2FF864" w14:textId="04B626A4" w:rsidR="00476795" w:rsidRDefault="00476795" w:rsidP="00476795">
      <w:r>
        <w:t xml:space="preserve">This letter serves as </w:t>
      </w:r>
      <w:r w:rsidR="00A72D1D">
        <w:t xml:space="preserve">final plat </w:t>
      </w:r>
      <w:r>
        <w:t xml:space="preserve">review comments. You are </w:t>
      </w:r>
      <w:r w:rsidR="00F53201">
        <w:t>responsible</w:t>
      </w:r>
      <w:r>
        <w:t xml:space="preserve"> for complying with all section’s, codes and references with the fire code based on the 2021 International Fire Code and amendments. </w:t>
      </w:r>
      <w:r w:rsidR="003A6A55">
        <w:t>F</w:t>
      </w:r>
      <w:r w:rsidR="00F53201">
        <w:t>alcon Fire Protection D</w:t>
      </w:r>
      <w:r w:rsidR="002171EB">
        <w:t xml:space="preserve">istrict approves the variance of use </w:t>
      </w:r>
      <w:r w:rsidR="00B93AA7">
        <w:t>provided the applicant follows the b</w:t>
      </w:r>
      <w:r w:rsidR="0091735F">
        <w:t>elow comments.</w:t>
      </w:r>
    </w:p>
    <w:p w14:paraId="2FC3EF46" w14:textId="77777777" w:rsidR="00274375" w:rsidRDefault="00274375" w:rsidP="00476795"/>
    <w:p w14:paraId="2758BC91" w14:textId="77777777" w:rsidR="00476795" w:rsidRDefault="00476795" w:rsidP="00476795"/>
    <w:p w14:paraId="1246CEE9" w14:textId="5A56B6A2" w:rsidR="00476795" w:rsidRDefault="00476795" w:rsidP="00476795">
      <w:pPr>
        <w:rPr>
          <w:highlight w:val="yellow"/>
        </w:rPr>
      </w:pPr>
      <w:r w:rsidRPr="00835B8A">
        <w:rPr>
          <w:highlight w:val="yellow"/>
        </w:rPr>
        <w:t>PLEASE READ THIS ENTIRE DOCUMENT, YOU ARE RESPONSIBLE FOR EVERYTHING CONTAINED HERIN</w:t>
      </w:r>
      <w:r w:rsidR="00EA12AB" w:rsidRPr="00835B8A">
        <w:rPr>
          <w:highlight w:val="yellow"/>
        </w:rPr>
        <w:t>!</w:t>
      </w:r>
      <w:r w:rsidR="00EA12AB">
        <w:rPr>
          <w:highlight w:val="yellow"/>
        </w:rPr>
        <w:t xml:space="preserve"> </w:t>
      </w:r>
    </w:p>
    <w:p w14:paraId="417C7804" w14:textId="77777777" w:rsidR="00476795" w:rsidRDefault="00476795" w:rsidP="00476795"/>
    <w:p w14:paraId="5F151435" w14:textId="77777777" w:rsidR="00476795" w:rsidRDefault="00476795" w:rsidP="00476795">
      <w:r>
        <w:t xml:space="preserve">The following are </w:t>
      </w:r>
      <w:r w:rsidRPr="00835B8A">
        <w:rPr>
          <w:b/>
          <w:u w:val="single"/>
        </w:rPr>
        <w:t>ACTION ITEMS</w:t>
      </w:r>
      <w:r>
        <w:t xml:space="preserve"> that need to be completed prior to the fire final.</w:t>
      </w:r>
    </w:p>
    <w:p w14:paraId="46B51E87" w14:textId="77777777" w:rsidR="00476795" w:rsidRDefault="00476795" w:rsidP="00476795">
      <w:pPr>
        <w:rPr>
          <w:b/>
        </w:rPr>
      </w:pPr>
    </w:p>
    <w:p w14:paraId="2D6102C0" w14:textId="77777777" w:rsidR="00476795" w:rsidRDefault="00476795" w:rsidP="00476795">
      <w:pPr>
        <w:rPr>
          <w:rFonts w:eastAsia="ArialMT"/>
          <w:color w:val="404040"/>
        </w:rPr>
      </w:pPr>
      <w:r w:rsidRPr="006C6DF3">
        <w:rPr>
          <w:rFonts w:eastAsia="Arial-BoldMT"/>
          <w:b/>
          <w:bCs/>
          <w:color w:val="404040"/>
        </w:rPr>
        <w:t xml:space="preserve">101.3 </w:t>
      </w:r>
      <w:r w:rsidRPr="006C6DF3">
        <w:rPr>
          <w:rFonts w:eastAsia="Arial-BoldMT"/>
          <w:b/>
          <w:bCs/>
        </w:rPr>
        <w:t xml:space="preserve">Purpose. </w:t>
      </w:r>
      <w:r w:rsidRPr="006C6DF3">
        <w:rPr>
          <w:rFonts w:eastAsia="ArialMT"/>
          <w:color w:val="404040"/>
        </w:rPr>
        <w:t>The purpose of this code is to establish the minimum requirements consistent with nationally recognized good practice for providing a reasonable level of life safety and property protection from the hazards of fire, explosion or dangerous conditions in new and existing buildings,</w:t>
      </w:r>
      <w:r>
        <w:rPr>
          <w:rFonts w:eastAsia="ArialMT"/>
          <w:color w:val="404040"/>
        </w:rPr>
        <w:t xml:space="preserve"> </w:t>
      </w:r>
      <w:r w:rsidRPr="006C6DF3">
        <w:rPr>
          <w:rFonts w:eastAsia="ArialMT"/>
          <w:color w:val="404040"/>
        </w:rPr>
        <w:t>structures and premises, and to provide a reasonable level of safety to fire fighters and emergency responders during emergency operations.</w:t>
      </w:r>
    </w:p>
    <w:p w14:paraId="7DB35431" w14:textId="77777777" w:rsidR="00476795" w:rsidRDefault="00476795" w:rsidP="00476795">
      <w:pPr>
        <w:rPr>
          <w:rFonts w:eastAsia="ArialMT"/>
          <w:color w:val="404040"/>
        </w:rPr>
      </w:pPr>
    </w:p>
    <w:p w14:paraId="63B1D0D6" w14:textId="77777777" w:rsidR="00476795" w:rsidRDefault="00476795" w:rsidP="00476795">
      <w:pPr>
        <w:rPr>
          <w:rFonts w:eastAsia="ArialMT"/>
          <w:color w:val="404040"/>
        </w:rPr>
      </w:pPr>
      <w:r w:rsidRPr="006C6DF3">
        <w:rPr>
          <w:rFonts w:eastAsia="Arial-BoldMT"/>
          <w:b/>
          <w:bCs/>
          <w:color w:val="404040"/>
        </w:rPr>
        <w:t xml:space="preserve">102.7 Referenced codes and standards. </w:t>
      </w:r>
      <w:r w:rsidRPr="006C6DF3">
        <w:rPr>
          <w:rFonts w:eastAsia="ArialMT"/>
          <w:color w:val="404040"/>
        </w:rPr>
        <w:t xml:space="preserve">The codes and standards referenced in this code shall be those that are listed in </w:t>
      </w:r>
      <w:r w:rsidRPr="006C6DF3">
        <w:rPr>
          <w:rFonts w:eastAsia="Arial-BoldMT"/>
          <w:b/>
          <w:bCs/>
          <w:color w:val="2A2C2E"/>
        </w:rPr>
        <w:t>Chapter 80</w:t>
      </w:r>
      <w:r w:rsidRPr="006C6DF3">
        <w:rPr>
          <w:rFonts w:eastAsia="ArialMT"/>
          <w:color w:val="404040"/>
        </w:rPr>
        <w:t>, and such codes and standards shall be considered to be part of the requirements of this code to the prescribed extent of each such reference and</w:t>
      </w:r>
      <w:r>
        <w:rPr>
          <w:rFonts w:eastAsia="ArialMT"/>
          <w:color w:val="404040"/>
        </w:rPr>
        <w:t xml:space="preserve"> </w:t>
      </w:r>
      <w:r w:rsidRPr="006C6DF3">
        <w:rPr>
          <w:rFonts w:eastAsia="ArialMT"/>
          <w:color w:val="404040"/>
        </w:rPr>
        <w:t>as</w:t>
      </w:r>
      <w:r>
        <w:rPr>
          <w:rFonts w:eastAsia="ArialMT"/>
          <w:color w:val="404040"/>
        </w:rPr>
        <w:t xml:space="preserve"> </w:t>
      </w:r>
      <w:r w:rsidRPr="006C6DF3">
        <w:rPr>
          <w:rFonts w:eastAsia="ArialMT"/>
          <w:color w:val="404040"/>
        </w:rPr>
        <w:t xml:space="preserve">further regulated by </w:t>
      </w:r>
      <w:r w:rsidRPr="006C6DF3">
        <w:rPr>
          <w:rFonts w:eastAsia="Arial-BoldMT"/>
          <w:b/>
          <w:bCs/>
          <w:color w:val="2A2C2E"/>
        </w:rPr>
        <w:t xml:space="preserve">Sections 102.7.1 </w:t>
      </w:r>
      <w:r w:rsidRPr="006C6DF3">
        <w:rPr>
          <w:rFonts w:eastAsia="ArialMT"/>
          <w:color w:val="404040"/>
        </w:rPr>
        <w:t xml:space="preserve">and </w:t>
      </w:r>
      <w:r w:rsidRPr="006C6DF3">
        <w:rPr>
          <w:rFonts w:eastAsia="Arial-BoldMT"/>
          <w:b/>
          <w:bCs/>
          <w:color w:val="2A2C2E"/>
        </w:rPr>
        <w:t>102.7.2</w:t>
      </w:r>
      <w:r w:rsidRPr="006C6DF3">
        <w:rPr>
          <w:rFonts w:eastAsia="ArialMT"/>
          <w:color w:val="404040"/>
        </w:rPr>
        <w:t>.</w:t>
      </w:r>
    </w:p>
    <w:p w14:paraId="37A59775" w14:textId="77777777" w:rsidR="00476795" w:rsidRPr="006C6DF3" w:rsidRDefault="00476795" w:rsidP="00476795">
      <w:pPr>
        <w:rPr>
          <w:rFonts w:eastAsia="ArialMT"/>
          <w:color w:val="404040"/>
        </w:rPr>
      </w:pPr>
    </w:p>
    <w:p w14:paraId="66B024B1" w14:textId="77777777" w:rsidR="00476795" w:rsidRPr="006C6DF3" w:rsidRDefault="00476795" w:rsidP="00476795">
      <w:pPr>
        <w:rPr>
          <w:rFonts w:eastAsia="ArialMT"/>
          <w:color w:val="404040"/>
        </w:rPr>
      </w:pPr>
      <w:r w:rsidRPr="006C6DF3">
        <w:rPr>
          <w:rFonts w:eastAsia="Arial-BoldMT"/>
          <w:b/>
          <w:bCs/>
          <w:color w:val="404040"/>
        </w:rPr>
        <w:lastRenderedPageBreak/>
        <w:t xml:space="preserve">102.7.1 Conflicts. </w:t>
      </w:r>
      <w:r w:rsidRPr="006C6DF3">
        <w:rPr>
          <w:rFonts w:eastAsia="ArialMT"/>
          <w:color w:val="404040"/>
        </w:rPr>
        <w:t>Where conflicts occur between provisions of this code and referenced codes and standards, the provisions of this code shall apply.</w:t>
      </w:r>
    </w:p>
    <w:p w14:paraId="0E7C7531" w14:textId="77777777" w:rsidR="00476795" w:rsidRDefault="00476795" w:rsidP="00476795">
      <w:pPr>
        <w:rPr>
          <w:rFonts w:eastAsia="ArialMT"/>
          <w:color w:val="404040"/>
        </w:rPr>
      </w:pPr>
    </w:p>
    <w:p w14:paraId="57A898F0" w14:textId="77777777" w:rsidR="00476795" w:rsidRPr="006C6DF3" w:rsidRDefault="00476795" w:rsidP="00476795">
      <w:pPr>
        <w:rPr>
          <w:rFonts w:eastAsia="ArialMT"/>
          <w:color w:val="404040"/>
        </w:rPr>
      </w:pPr>
      <w:r w:rsidRPr="006C6DF3">
        <w:rPr>
          <w:rFonts w:eastAsia="Arial-BoldMT"/>
          <w:b/>
          <w:bCs/>
          <w:color w:val="404040"/>
        </w:rPr>
        <w:t xml:space="preserve">102.7.2 Provisions in referenced codes and standards. </w:t>
      </w:r>
      <w:r w:rsidRPr="006C6DF3">
        <w:rPr>
          <w:rFonts w:eastAsia="ArialMT"/>
          <w:color w:val="404040"/>
        </w:rPr>
        <w:t>Where the extent of the</w:t>
      </w:r>
    </w:p>
    <w:p w14:paraId="7A001B9B" w14:textId="77777777" w:rsidR="00476795" w:rsidRDefault="00476795" w:rsidP="00476795">
      <w:pPr>
        <w:rPr>
          <w:rFonts w:eastAsia="ArialMT"/>
          <w:color w:val="404040"/>
        </w:rPr>
      </w:pPr>
      <w:r w:rsidRPr="006C6DF3">
        <w:rPr>
          <w:rFonts w:eastAsia="ArialMT"/>
          <w:color w:val="404040"/>
        </w:rPr>
        <w:t>reference to a referenced code or standard includes subject matter that is within the scope of this code, the provisions of this code, as applicable, shall take precedence over the provisions in the referenced code or standard.</w:t>
      </w:r>
    </w:p>
    <w:p w14:paraId="3C2C2925" w14:textId="77777777" w:rsidR="00476795" w:rsidRDefault="00476795" w:rsidP="00476795">
      <w:pPr>
        <w:autoSpaceDE w:val="0"/>
        <w:autoSpaceDN w:val="0"/>
        <w:adjustRightInd w:val="0"/>
        <w:rPr>
          <w:rFonts w:eastAsia="Arial-BoldMT"/>
          <w:b/>
          <w:bCs/>
        </w:rPr>
      </w:pPr>
    </w:p>
    <w:p w14:paraId="053356DF" w14:textId="77777777" w:rsidR="00476795" w:rsidRPr="002702F3" w:rsidRDefault="00476795" w:rsidP="00476795">
      <w:pPr>
        <w:autoSpaceDE w:val="0"/>
        <w:autoSpaceDN w:val="0"/>
        <w:adjustRightInd w:val="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1D98681B" w14:textId="77777777" w:rsidR="00476795" w:rsidRDefault="00476795" w:rsidP="00476795">
      <w:pPr>
        <w:autoSpaceDE w:val="0"/>
        <w:autoSpaceDN w:val="0"/>
        <w:adjustRightInd w:val="0"/>
        <w:rPr>
          <w:rFonts w:eastAsia="Arial-BoldMT"/>
          <w:b/>
          <w:bCs/>
        </w:rPr>
      </w:pPr>
    </w:p>
    <w:p w14:paraId="7ADE8509" w14:textId="77777777" w:rsidR="00476795" w:rsidRPr="002702F3" w:rsidRDefault="00476795" w:rsidP="00476795">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45A29112" w14:textId="77777777" w:rsidR="00476795" w:rsidRDefault="00476795" w:rsidP="00476795">
      <w:pPr>
        <w:autoSpaceDE w:val="0"/>
        <w:autoSpaceDN w:val="0"/>
        <w:adjustRightInd w:val="0"/>
        <w:rPr>
          <w:rFonts w:eastAsia="Arial-BoldMT"/>
          <w:b/>
          <w:bCs/>
        </w:rPr>
      </w:pPr>
    </w:p>
    <w:p w14:paraId="08A44179" w14:textId="77777777" w:rsidR="00476795" w:rsidRDefault="00476795" w:rsidP="00476795">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07081F2" w14:textId="77777777" w:rsidR="00476795" w:rsidRPr="007370DF" w:rsidRDefault="00476795" w:rsidP="00476795">
      <w:pPr>
        <w:autoSpaceDE w:val="0"/>
        <w:autoSpaceDN w:val="0"/>
        <w:adjustRightInd w:val="0"/>
        <w:rPr>
          <w:rFonts w:eastAsia="ArialMT"/>
          <w:color w:val="404040"/>
        </w:rPr>
      </w:pPr>
    </w:p>
    <w:p w14:paraId="1735E33A" w14:textId="77777777" w:rsidR="00476795" w:rsidRDefault="00476795" w:rsidP="00476795">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 xml:space="preserve">Fire apparatus access roads shall be designed and maintained to support the imposed loads of fire apparatus and shall be surfaced </w:t>
      </w:r>
      <w:bookmarkStart w:id="0" w:name="_Int_sfF4j9Zh"/>
      <w:r w:rsidRPr="002702F3">
        <w:rPr>
          <w:rFonts w:eastAsia="ArialMT"/>
          <w:color w:val="404040"/>
        </w:rPr>
        <w:t>so as to</w:t>
      </w:r>
      <w:bookmarkEnd w:id="0"/>
      <w:r w:rsidRPr="002702F3">
        <w:rPr>
          <w:rFonts w:eastAsia="ArialMT"/>
          <w:color w:val="404040"/>
        </w:rPr>
        <w:t xml:space="preserve"> provide all-weather driving capabilities.</w:t>
      </w:r>
    </w:p>
    <w:p w14:paraId="095AF866" w14:textId="77777777" w:rsidR="00476795" w:rsidRDefault="00476795" w:rsidP="00476795">
      <w:pPr>
        <w:autoSpaceDE w:val="0"/>
        <w:autoSpaceDN w:val="0"/>
        <w:adjustRightInd w:val="0"/>
        <w:rPr>
          <w:rFonts w:eastAsia="ArialMT"/>
          <w:color w:val="404040"/>
        </w:rPr>
      </w:pPr>
      <w:r>
        <w:rPr>
          <w:rFonts w:eastAsia="ArialMT"/>
          <w:color w:val="404040"/>
        </w:rPr>
        <w:tab/>
      </w:r>
    </w:p>
    <w:p w14:paraId="01F809BF" w14:textId="5F334E27" w:rsidR="00476795" w:rsidRPr="002702F3" w:rsidRDefault="00476795" w:rsidP="00476795">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57568F" w:rsidRPr="002702F3">
        <w:rPr>
          <w:rFonts w:eastAsia="Arial-BoldMT"/>
          <w:i/>
          <w:iCs/>
        </w:rPr>
        <w:t>.</w:t>
      </w:r>
      <w:r w:rsidR="0057568F">
        <w:rPr>
          <w:rFonts w:eastAsia="Arial-BoldMT"/>
          <w:i/>
          <w:iCs/>
        </w:rPr>
        <w:t xml:space="preserve"> </w:t>
      </w:r>
      <w:r>
        <w:rPr>
          <w:rFonts w:eastAsia="Arial-BoldMT"/>
          <w:b/>
          <w:i/>
          <w:iCs/>
          <w:color w:val="FF0000"/>
          <w:u w:val="single"/>
        </w:rPr>
        <w:t xml:space="preserve">33’ inside and 53’ outside radius. </w:t>
      </w:r>
      <w:r w:rsidR="00A72D1D">
        <w:rPr>
          <w:rFonts w:eastAsia="Arial-BoldMT"/>
          <w:b/>
          <w:i/>
          <w:iCs/>
          <w:color w:val="FF0000"/>
          <w:u w:val="single"/>
        </w:rPr>
        <w:t>S</w:t>
      </w:r>
      <w:r>
        <w:rPr>
          <w:rFonts w:eastAsia="Arial-BoldMT"/>
          <w:b/>
          <w:i/>
          <w:iCs/>
          <w:color w:val="FF0000"/>
          <w:u w:val="single"/>
        </w:rPr>
        <w:t>ubmit the site plan showing the turning radius.</w:t>
      </w:r>
    </w:p>
    <w:p w14:paraId="239A89B4" w14:textId="77777777" w:rsidR="00476795" w:rsidRDefault="00476795" w:rsidP="00476795">
      <w:pPr>
        <w:autoSpaceDE w:val="0"/>
        <w:autoSpaceDN w:val="0"/>
        <w:adjustRightInd w:val="0"/>
        <w:rPr>
          <w:rFonts w:eastAsia="ArialMT"/>
        </w:rPr>
      </w:pPr>
    </w:p>
    <w:p w14:paraId="7AA18366" w14:textId="77777777" w:rsidR="00476795" w:rsidRDefault="00476795" w:rsidP="00476795">
      <w:pPr>
        <w:autoSpaceDE w:val="0"/>
        <w:autoSpaceDN w:val="0"/>
        <w:adjustRightInd w:val="0"/>
        <w:rPr>
          <w:rFonts w:eastAsia="ArialMT"/>
        </w:rPr>
      </w:pPr>
      <w:r w:rsidRPr="002702F3">
        <w:rPr>
          <w:rFonts w:eastAsia="Arial-BoldMT"/>
          <w:b/>
          <w:bCs/>
        </w:rPr>
        <w:t xml:space="preserve">503.2.5 Dead ends. </w:t>
      </w:r>
      <w:r w:rsidRPr="002702F3">
        <w:rPr>
          <w:rFonts w:eastAsia="ArialMT"/>
        </w:rPr>
        <w:t xml:space="preserve">Dead-end fire apparatus access roads </w:t>
      </w:r>
      <w:bookmarkStart w:id="1" w:name="_Int_RObsEEFG"/>
      <w:r w:rsidRPr="002702F3">
        <w:rPr>
          <w:rFonts w:eastAsia="ArialMT"/>
        </w:rPr>
        <w:t>in excess of</w:t>
      </w:r>
      <w:bookmarkEnd w:id="1"/>
      <w:r w:rsidRPr="002702F3">
        <w:rPr>
          <w:rFonts w:eastAsia="ArialMT"/>
        </w:rPr>
        <w:t xml:space="preserve"> 200 feet in length shall </w:t>
      </w:r>
      <w:bookmarkStart w:id="2" w:name="_Int_OHEI53dU"/>
      <w:r w:rsidRPr="002702F3">
        <w:rPr>
          <w:rFonts w:eastAsia="ArialMT"/>
        </w:rPr>
        <w:t>be provided</w:t>
      </w:r>
      <w:bookmarkEnd w:id="2"/>
      <w:r w:rsidRPr="002702F3">
        <w:rPr>
          <w:rFonts w:eastAsia="ArialMT"/>
        </w:rPr>
        <w:t xml:space="preserve"> with an approved area for turning around fire apparatus.</w:t>
      </w:r>
    </w:p>
    <w:p w14:paraId="213ADC10" w14:textId="77777777" w:rsidR="00476795" w:rsidRDefault="00476795" w:rsidP="00476795">
      <w:pPr>
        <w:autoSpaceDE w:val="0"/>
        <w:autoSpaceDN w:val="0"/>
        <w:adjustRightInd w:val="0"/>
        <w:rPr>
          <w:rFonts w:eastAsia="ArialMT"/>
        </w:rPr>
      </w:pPr>
    </w:p>
    <w:p w14:paraId="6A191CF7" w14:textId="77777777" w:rsidR="00476795" w:rsidRPr="00C42063" w:rsidRDefault="00476795" w:rsidP="00476795">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Pr>
          <w:rFonts w:eastAsia="ArialMT"/>
          <w:b/>
          <w:i/>
          <w:color w:val="FF0000"/>
          <w:u w:val="single"/>
        </w:rPr>
        <w:t xml:space="preserve">10% maximum. </w:t>
      </w:r>
    </w:p>
    <w:p w14:paraId="607910B0" w14:textId="77777777" w:rsidR="00476795" w:rsidRDefault="00476795" w:rsidP="00476795">
      <w:pPr>
        <w:autoSpaceDE w:val="0"/>
        <w:autoSpaceDN w:val="0"/>
        <w:adjustRightInd w:val="0"/>
        <w:rPr>
          <w:rFonts w:eastAsia="ArialMT"/>
          <w:color w:val="404040"/>
        </w:rPr>
      </w:pPr>
    </w:p>
    <w:p w14:paraId="1F820B6D" w14:textId="77777777" w:rsidR="00476795" w:rsidRPr="00C42063" w:rsidRDefault="00476795" w:rsidP="00476795">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C42063">
        <w:rPr>
          <w:b/>
          <w:i/>
          <w:color w:val="FF0000"/>
          <w:u w:val="single"/>
        </w:rPr>
        <w:t>Less than 8° degrees (not % percent</w:t>
      </w:r>
      <w:r>
        <w:rPr>
          <w:b/>
          <w:i/>
          <w:color w:val="FF0000"/>
          <w:u w:val="single"/>
        </w:rPr>
        <w:t xml:space="preserve">). </w:t>
      </w:r>
    </w:p>
    <w:p w14:paraId="5AFD261E" w14:textId="77777777" w:rsidR="00476795" w:rsidRDefault="00476795" w:rsidP="00476795">
      <w:pPr>
        <w:tabs>
          <w:tab w:val="left" w:pos="810"/>
        </w:tabs>
        <w:rPr>
          <w:b/>
          <w:bCs/>
        </w:rPr>
      </w:pPr>
    </w:p>
    <w:p w14:paraId="3CAC3EB7" w14:textId="77777777" w:rsidR="00476795" w:rsidRPr="00CA369A" w:rsidRDefault="00476795" w:rsidP="00476795">
      <w:pPr>
        <w:rPr>
          <w:i/>
          <w:iCs/>
          <w:color w:val="404040"/>
        </w:rPr>
      </w:pPr>
      <w:r w:rsidRPr="00CA369A">
        <w:rPr>
          <w:rFonts w:eastAsia="Arial-BoldMT"/>
          <w:b/>
          <w:bCs/>
          <w:color w:val="404040"/>
        </w:rPr>
        <w:t xml:space="preserve">503.3 Marking. </w:t>
      </w:r>
      <w:r w:rsidRPr="00CA369A">
        <w:rPr>
          <w:rFonts w:eastAsia="ArialMT"/>
          <w:color w:val="404040"/>
        </w:rPr>
        <w:t xml:space="preserve">Where required by the </w:t>
      </w:r>
      <w:r w:rsidRPr="00CA369A">
        <w:rPr>
          <w:i/>
          <w:iCs/>
          <w:color w:val="404040"/>
        </w:rPr>
        <w:t>fire code official</w:t>
      </w:r>
      <w:r w:rsidRPr="00CA369A">
        <w:rPr>
          <w:rFonts w:eastAsia="ArialMT"/>
          <w:color w:val="404040"/>
        </w:rPr>
        <w:t xml:space="preserve">, </w:t>
      </w:r>
      <w:r w:rsidRPr="00CA369A">
        <w:rPr>
          <w:i/>
          <w:iCs/>
          <w:color w:val="404040"/>
        </w:rPr>
        <w:t xml:space="preserve">approved </w:t>
      </w:r>
      <w:r w:rsidRPr="00CA369A">
        <w:rPr>
          <w:rFonts w:eastAsia="ArialMT"/>
          <w:color w:val="404040"/>
        </w:rPr>
        <w:t xml:space="preserve">signs or other </w:t>
      </w:r>
      <w:r w:rsidRPr="00CA369A">
        <w:rPr>
          <w:i/>
          <w:iCs/>
          <w:color w:val="404040"/>
        </w:rPr>
        <w:t xml:space="preserve">approved </w:t>
      </w:r>
      <w:r w:rsidRPr="00CA369A">
        <w:rPr>
          <w:rFonts w:eastAsia="ArialMT"/>
          <w:color w:val="404040"/>
        </w:rPr>
        <w:t>notices or markings that include the words “NO PARKING—FIRE LANE” shall be provided for fire</w:t>
      </w:r>
      <w:r w:rsidRPr="00CA369A">
        <w:rPr>
          <w:i/>
          <w:iCs/>
          <w:color w:val="404040"/>
        </w:rPr>
        <w:t xml:space="preserve"> </w:t>
      </w:r>
      <w:r w:rsidRPr="00CA369A">
        <w:rPr>
          <w:rFonts w:eastAsia="ArialMT"/>
          <w:color w:val="404040"/>
        </w:rPr>
        <w:t>apparatus access roads to identify such roads or prohibit the obstruction thereof. The means by</w:t>
      </w:r>
      <w:r w:rsidRPr="00CA369A">
        <w:rPr>
          <w:i/>
          <w:iCs/>
          <w:color w:val="404040"/>
        </w:rPr>
        <w:t xml:space="preserve"> </w:t>
      </w:r>
      <w:r w:rsidRPr="00CA369A">
        <w:rPr>
          <w:rFonts w:eastAsia="ArialMT"/>
          <w:color w:val="404040"/>
        </w:rPr>
        <w:t xml:space="preserve">which </w:t>
      </w:r>
      <w:r w:rsidRPr="00CA369A">
        <w:rPr>
          <w:i/>
          <w:iCs/>
          <w:color w:val="404040"/>
        </w:rPr>
        <w:t xml:space="preserve">fire lanes </w:t>
      </w:r>
      <w:r w:rsidRPr="00CA369A">
        <w:rPr>
          <w:rFonts w:eastAsia="ArialMT"/>
          <w:color w:val="404040"/>
        </w:rPr>
        <w:t>are designated shall be maintained in a clean and legible condition at all times and</w:t>
      </w:r>
      <w:r>
        <w:rPr>
          <w:i/>
          <w:iCs/>
          <w:color w:val="404040"/>
        </w:rPr>
        <w:t xml:space="preserve"> </w:t>
      </w:r>
      <w:r w:rsidRPr="00CA369A">
        <w:rPr>
          <w:rFonts w:eastAsia="ArialMT"/>
          <w:color w:val="404040"/>
        </w:rPr>
        <w:t>be replaced or repaired when necessary to provide adequate visibility.</w:t>
      </w:r>
    </w:p>
    <w:p w14:paraId="36EEC8F3" w14:textId="77777777" w:rsidR="00476795" w:rsidRPr="00CA369A" w:rsidRDefault="00476795" w:rsidP="00476795">
      <w:pPr>
        <w:rPr>
          <w:rFonts w:eastAsia="ArialMT"/>
          <w:color w:val="404040"/>
        </w:rPr>
      </w:pPr>
    </w:p>
    <w:p w14:paraId="019FDD49" w14:textId="61EB0843" w:rsidR="00476795" w:rsidRDefault="00476795" w:rsidP="00476795">
      <w:pPr>
        <w:rPr>
          <w:rFonts w:eastAsia="ArialMT"/>
          <w:color w:val="404040"/>
        </w:rPr>
      </w:pPr>
      <w:r w:rsidRPr="00CA369A">
        <w:rPr>
          <w:rFonts w:eastAsia="Arial-BoldMT"/>
          <w:b/>
          <w:bCs/>
          <w:color w:val="404040"/>
        </w:rPr>
        <w:lastRenderedPageBreak/>
        <w:t xml:space="preserve">503.4 Obstruction of fire apparatus access roads. </w:t>
      </w:r>
      <w:r w:rsidRPr="00CA369A">
        <w:rPr>
          <w:rFonts w:eastAsia="ArialMT"/>
          <w:color w:val="404040"/>
        </w:rPr>
        <w:t xml:space="preserve">Fire apparatus access roads shall not be obstructed in any manner, including the parking of vehicles. The minimum widths and clearances established in </w:t>
      </w:r>
      <w:r w:rsidRPr="00CA369A">
        <w:rPr>
          <w:rFonts w:eastAsia="Arial-BoldMT"/>
          <w:b/>
          <w:bCs/>
          <w:color w:val="2A2C2E"/>
        </w:rPr>
        <w:t xml:space="preserve">Sections 503.2.1 </w:t>
      </w:r>
      <w:r w:rsidRPr="00CA369A">
        <w:rPr>
          <w:rFonts w:eastAsia="ArialMT"/>
          <w:color w:val="404040"/>
        </w:rPr>
        <w:t xml:space="preserve">and </w:t>
      </w:r>
      <w:r w:rsidRPr="00CA369A">
        <w:rPr>
          <w:rFonts w:eastAsia="Arial-BoldMT"/>
          <w:b/>
          <w:bCs/>
          <w:color w:val="2A2C2E"/>
        </w:rPr>
        <w:t xml:space="preserve">503.2.2 </w:t>
      </w:r>
      <w:r w:rsidRPr="00CA369A">
        <w:rPr>
          <w:rFonts w:eastAsia="ArialMT"/>
          <w:color w:val="404040"/>
        </w:rPr>
        <w:t>shall be maintained at all times.</w:t>
      </w:r>
    </w:p>
    <w:p w14:paraId="10A8E85B" w14:textId="3AE6A1C2" w:rsidR="00476795" w:rsidRDefault="00476795" w:rsidP="00476795">
      <w:pPr>
        <w:rPr>
          <w:rFonts w:eastAsia="ArialMT"/>
          <w:color w:val="404040"/>
        </w:rPr>
      </w:pPr>
    </w:p>
    <w:p w14:paraId="4D45D4FF" w14:textId="64553F6C" w:rsidR="00476795" w:rsidRPr="00B706BF" w:rsidRDefault="00476795" w:rsidP="00476795">
      <w:pPr>
        <w:tabs>
          <w:tab w:val="left" w:pos="810"/>
        </w:tabs>
        <w:rPr>
          <w:u w:val="single"/>
        </w:rPr>
      </w:pPr>
      <w:r w:rsidRPr="00B3754C">
        <w:rPr>
          <w:b/>
          <w:bCs/>
        </w:rPr>
        <w:t xml:space="preserve">Section 505.1. Address Identification. </w:t>
      </w:r>
      <w:r w:rsidRPr="00A8694B">
        <w:t xml:space="preserve">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w:t>
      </w:r>
      <w:bookmarkStart w:id="3" w:name="_Int_uIfvvC2i"/>
      <w:r w:rsidRPr="00A8694B">
        <w:t>pole</w:t>
      </w:r>
      <w:bookmarkEnd w:id="3"/>
      <w:r w:rsidRPr="00A8694B">
        <w:t xml:space="preserve"> or other means of signage shall be used to identify the structure.”</w:t>
      </w:r>
      <w:r>
        <w:t xml:space="preserve"> </w:t>
      </w:r>
      <w:r w:rsidRPr="00B706BF">
        <w:rPr>
          <w:b/>
          <w:i/>
          <w:color w:val="FF0000"/>
          <w:u w:val="single"/>
        </w:rPr>
        <w:t xml:space="preserve">Address numbers </w:t>
      </w:r>
      <w:r>
        <w:rPr>
          <w:b/>
          <w:i/>
          <w:color w:val="FF0000"/>
          <w:u w:val="single"/>
        </w:rPr>
        <w:t>shall be visible from the street and approved by the f</w:t>
      </w:r>
      <w:r w:rsidR="00A72D1D">
        <w:rPr>
          <w:b/>
          <w:i/>
          <w:color w:val="FF0000"/>
          <w:u w:val="single"/>
        </w:rPr>
        <w:t>i</w:t>
      </w:r>
      <w:r>
        <w:rPr>
          <w:b/>
          <w:i/>
          <w:color w:val="FF0000"/>
          <w:u w:val="single"/>
        </w:rPr>
        <w:t>re code official.</w:t>
      </w:r>
    </w:p>
    <w:p w14:paraId="3CD859E2" w14:textId="0B09086A" w:rsidR="00476795" w:rsidRDefault="00476795" w:rsidP="00476795">
      <w:pPr>
        <w:rPr>
          <w:rFonts w:eastAsia="ArialMT"/>
          <w:color w:val="404040"/>
        </w:rPr>
      </w:pPr>
    </w:p>
    <w:p w14:paraId="47ED360E" w14:textId="77777777" w:rsidR="00274375" w:rsidRDefault="00274375" w:rsidP="00476795">
      <w:pPr>
        <w:autoSpaceDE w:val="0"/>
        <w:autoSpaceDN w:val="0"/>
        <w:adjustRightInd w:val="0"/>
        <w:rPr>
          <w:rFonts w:eastAsia="ArialMT"/>
        </w:rPr>
      </w:pPr>
    </w:p>
    <w:p w14:paraId="0962FFE6" w14:textId="77777777" w:rsidR="00274375" w:rsidRDefault="00274375" w:rsidP="00476795">
      <w:pPr>
        <w:autoSpaceDE w:val="0"/>
        <w:autoSpaceDN w:val="0"/>
        <w:adjustRightInd w:val="0"/>
        <w:rPr>
          <w:rFonts w:eastAsia="ArialMT"/>
        </w:rPr>
      </w:pPr>
    </w:p>
    <w:p w14:paraId="3E664252" w14:textId="723F81C9" w:rsidR="00476795" w:rsidRPr="00796AD5" w:rsidRDefault="00476795" w:rsidP="00476795">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740B2A5D" w14:textId="77777777" w:rsidR="00476795" w:rsidRDefault="00476795" w:rsidP="00476795">
      <w:pPr>
        <w:tabs>
          <w:tab w:val="left" w:pos="90"/>
        </w:tabs>
      </w:pPr>
      <w:r w:rsidRPr="00A8694B">
        <w:t xml:space="preserve"> </w:t>
      </w:r>
    </w:p>
    <w:p w14:paraId="71EADA4A" w14:textId="4B2A2517" w:rsidR="00476795" w:rsidRPr="002212EA" w:rsidRDefault="00476795" w:rsidP="002212EA">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59C52ABD" w14:textId="77777777" w:rsidR="00476795" w:rsidRPr="00A8694B" w:rsidRDefault="00476795" w:rsidP="00476795">
      <w:pPr>
        <w:autoSpaceDE w:val="0"/>
        <w:autoSpaceDN w:val="0"/>
        <w:adjustRightInd w:val="0"/>
        <w:ind w:left="450"/>
        <w:jc w:val="both"/>
      </w:pPr>
    </w:p>
    <w:p w14:paraId="7C057730" w14:textId="77777777" w:rsidR="00476795" w:rsidRDefault="00476795" w:rsidP="00476795">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749492D0" w14:textId="78BA672B" w:rsidR="00476795" w:rsidRDefault="00476795" w:rsidP="00476795">
      <w:pPr>
        <w:rPr>
          <w:rFonts w:eastAsia="ArialMT"/>
          <w:color w:val="404040"/>
        </w:rPr>
      </w:pPr>
    </w:p>
    <w:p w14:paraId="4C2142FE" w14:textId="77777777" w:rsidR="00C62B92" w:rsidRDefault="00C62B92" w:rsidP="00476795">
      <w:pPr>
        <w:autoSpaceDE w:val="0"/>
        <w:autoSpaceDN w:val="0"/>
        <w:adjustRightInd w:val="0"/>
        <w:jc w:val="both"/>
        <w:rPr>
          <w:b/>
          <w:u w:val="single"/>
        </w:rPr>
      </w:pPr>
    </w:p>
    <w:p w14:paraId="1B121601" w14:textId="77777777" w:rsidR="00C62B92" w:rsidRDefault="00C62B92" w:rsidP="00476795">
      <w:pPr>
        <w:autoSpaceDE w:val="0"/>
        <w:autoSpaceDN w:val="0"/>
        <w:adjustRightInd w:val="0"/>
        <w:jc w:val="both"/>
        <w:rPr>
          <w:b/>
          <w:u w:val="single"/>
        </w:rPr>
      </w:pPr>
    </w:p>
    <w:p w14:paraId="60D4B2DB" w14:textId="77777777" w:rsidR="00C62B92" w:rsidRDefault="00C62B92" w:rsidP="00476795">
      <w:pPr>
        <w:autoSpaceDE w:val="0"/>
        <w:autoSpaceDN w:val="0"/>
        <w:adjustRightInd w:val="0"/>
        <w:jc w:val="both"/>
        <w:rPr>
          <w:b/>
          <w:u w:val="single"/>
        </w:rPr>
      </w:pPr>
    </w:p>
    <w:p w14:paraId="21815912" w14:textId="77777777" w:rsidR="00C62B92" w:rsidRDefault="00C62B92" w:rsidP="00476795">
      <w:pPr>
        <w:autoSpaceDE w:val="0"/>
        <w:autoSpaceDN w:val="0"/>
        <w:adjustRightInd w:val="0"/>
        <w:jc w:val="both"/>
        <w:rPr>
          <w:b/>
          <w:u w:val="single"/>
        </w:rPr>
      </w:pPr>
    </w:p>
    <w:p w14:paraId="6E328CEE" w14:textId="77777777" w:rsidR="00C62B92" w:rsidRDefault="00C62B92" w:rsidP="00476795">
      <w:pPr>
        <w:autoSpaceDE w:val="0"/>
        <w:autoSpaceDN w:val="0"/>
        <w:adjustRightInd w:val="0"/>
        <w:jc w:val="both"/>
        <w:rPr>
          <w:b/>
          <w:u w:val="single"/>
        </w:rPr>
      </w:pPr>
    </w:p>
    <w:p w14:paraId="0049F771" w14:textId="77777777" w:rsidR="00C62B92" w:rsidRDefault="00C62B92" w:rsidP="00476795">
      <w:pPr>
        <w:autoSpaceDE w:val="0"/>
        <w:autoSpaceDN w:val="0"/>
        <w:adjustRightInd w:val="0"/>
        <w:jc w:val="both"/>
        <w:rPr>
          <w:b/>
          <w:u w:val="single"/>
        </w:rPr>
      </w:pPr>
    </w:p>
    <w:p w14:paraId="76371A0E" w14:textId="77777777" w:rsidR="00C62B92" w:rsidRDefault="00C62B92" w:rsidP="00476795">
      <w:pPr>
        <w:autoSpaceDE w:val="0"/>
        <w:autoSpaceDN w:val="0"/>
        <w:adjustRightInd w:val="0"/>
        <w:jc w:val="both"/>
        <w:rPr>
          <w:b/>
          <w:u w:val="single"/>
        </w:rPr>
      </w:pPr>
    </w:p>
    <w:p w14:paraId="1027656F" w14:textId="77777777" w:rsidR="00C62B92" w:rsidRDefault="00C62B92" w:rsidP="00476795">
      <w:pPr>
        <w:autoSpaceDE w:val="0"/>
        <w:autoSpaceDN w:val="0"/>
        <w:adjustRightInd w:val="0"/>
        <w:jc w:val="both"/>
        <w:rPr>
          <w:b/>
          <w:u w:val="single"/>
        </w:rPr>
      </w:pPr>
    </w:p>
    <w:p w14:paraId="36A867DD" w14:textId="77777777" w:rsidR="00A72D1D" w:rsidRDefault="00A72D1D" w:rsidP="00476795">
      <w:pPr>
        <w:autoSpaceDE w:val="0"/>
        <w:autoSpaceDN w:val="0"/>
        <w:adjustRightInd w:val="0"/>
        <w:jc w:val="both"/>
        <w:rPr>
          <w:b/>
          <w:u w:val="single"/>
        </w:rPr>
      </w:pPr>
    </w:p>
    <w:p w14:paraId="633AA6EB" w14:textId="77777777" w:rsidR="00A72D1D" w:rsidRDefault="00A72D1D" w:rsidP="00476795">
      <w:pPr>
        <w:autoSpaceDE w:val="0"/>
        <w:autoSpaceDN w:val="0"/>
        <w:adjustRightInd w:val="0"/>
        <w:jc w:val="both"/>
        <w:rPr>
          <w:b/>
          <w:u w:val="single"/>
        </w:rPr>
      </w:pPr>
    </w:p>
    <w:p w14:paraId="3051CDC5" w14:textId="77777777" w:rsidR="00A72D1D" w:rsidRDefault="00A72D1D" w:rsidP="00476795">
      <w:pPr>
        <w:autoSpaceDE w:val="0"/>
        <w:autoSpaceDN w:val="0"/>
        <w:adjustRightInd w:val="0"/>
        <w:jc w:val="both"/>
        <w:rPr>
          <w:b/>
          <w:u w:val="single"/>
        </w:rPr>
      </w:pPr>
    </w:p>
    <w:p w14:paraId="09173783" w14:textId="77777777" w:rsidR="00A72D1D" w:rsidRDefault="00A72D1D" w:rsidP="00476795">
      <w:pPr>
        <w:autoSpaceDE w:val="0"/>
        <w:autoSpaceDN w:val="0"/>
        <w:adjustRightInd w:val="0"/>
        <w:jc w:val="both"/>
        <w:rPr>
          <w:b/>
          <w:u w:val="single"/>
        </w:rPr>
      </w:pPr>
    </w:p>
    <w:p w14:paraId="7EF29D93" w14:textId="77777777" w:rsidR="00787D10" w:rsidRDefault="00787D10" w:rsidP="00476795">
      <w:pPr>
        <w:autoSpaceDE w:val="0"/>
        <w:autoSpaceDN w:val="0"/>
        <w:adjustRightInd w:val="0"/>
        <w:jc w:val="both"/>
        <w:rPr>
          <w:b/>
          <w:u w:val="single"/>
        </w:rPr>
      </w:pPr>
    </w:p>
    <w:p w14:paraId="1A6A796A" w14:textId="77777777" w:rsidR="002212EA" w:rsidRDefault="002212EA" w:rsidP="00476795">
      <w:pPr>
        <w:autoSpaceDE w:val="0"/>
        <w:autoSpaceDN w:val="0"/>
        <w:adjustRightInd w:val="0"/>
        <w:jc w:val="both"/>
        <w:rPr>
          <w:b/>
          <w:u w:val="single"/>
        </w:rPr>
      </w:pPr>
    </w:p>
    <w:p w14:paraId="50206F76" w14:textId="2ADDCF67" w:rsidR="00476795" w:rsidRDefault="00476795" w:rsidP="00476795">
      <w:pPr>
        <w:autoSpaceDE w:val="0"/>
        <w:autoSpaceDN w:val="0"/>
        <w:adjustRightInd w:val="0"/>
        <w:jc w:val="both"/>
        <w:rPr>
          <w:b/>
          <w:u w:val="single"/>
        </w:rPr>
      </w:pPr>
      <w:r w:rsidRPr="00CE7EA0">
        <w:rPr>
          <w:b/>
          <w:u w:val="single"/>
        </w:rPr>
        <w:lastRenderedPageBreak/>
        <w:t>Attention Contractor/Applicant:</w:t>
      </w:r>
    </w:p>
    <w:p w14:paraId="0760F170" w14:textId="77777777" w:rsidR="00476795" w:rsidRDefault="00476795" w:rsidP="00476795">
      <w:pPr>
        <w:autoSpaceDE w:val="0"/>
        <w:autoSpaceDN w:val="0"/>
        <w:adjustRightInd w:val="0"/>
        <w:jc w:val="both"/>
      </w:pPr>
    </w:p>
    <w:p w14:paraId="2D1B1AEC" w14:textId="77777777" w:rsidR="00476795" w:rsidRDefault="00476795" w:rsidP="00476795">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03E4A349" w14:textId="77777777" w:rsidR="00476795" w:rsidRDefault="00476795" w:rsidP="00476795">
      <w:pPr>
        <w:autoSpaceDE w:val="0"/>
        <w:autoSpaceDN w:val="0"/>
        <w:adjustRightInd w:val="0"/>
        <w:jc w:val="both"/>
      </w:pPr>
    </w:p>
    <w:p w14:paraId="7558C8EF" w14:textId="77777777" w:rsidR="00476795" w:rsidRPr="00CE7EA0" w:rsidRDefault="00476795" w:rsidP="00476795">
      <w:pPr>
        <w:autoSpaceDE w:val="0"/>
        <w:autoSpaceDN w:val="0"/>
        <w:adjustRightInd w:val="0"/>
        <w:jc w:val="both"/>
      </w:pPr>
      <w:r>
        <w:t>Please complete the following items:</w:t>
      </w:r>
    </w:p>
    <w:p w14:paraId="6A217979" w14:textId="77777777" w:rsidR="00476795" w:rsidRPr="000049A5" w:rsidRDefault="00476795" w:rsidP="00476795"/>
    <w:p w14:paraId="213E1284" w14:textId="01C55C97" w:rsidR="00476795" w:rsidRDefault="00476795" w:rsidP="00476795">
      <w:pPr>
        <w:numPr>
          <w:ilvl w:val="0"/>
          <w:numId w:val="4"/>
        </w:numPr>
      </w:pPr>
      <w:r w:rsidRPr="00E30F07">
        <w:rPr>
          <w:b/>
        </w:rPr>
        <w:t>Permits</w:t>
      </w:r>
      <w:r>
        <w:t xml:space="preserve"> – </w:t>
      </w:r>
      <w:r w:rsidR="00700FF3">
        <w:t>Ensure</w:t>
      </w:r>
      <w:r>
        <w:t xml:space="preserve"> all applicable permits are obtained from the Pikes Peak Regional Building Department (PPRBD) as applicable.</w:t>
      </w:r>
    </w:p>
    <w:p w14:paraId="1B18EA04" w14:textId="01C3AEA9" w:rsidR="00967967" w:rsidRDefault="00476795" w:rsidP="00300187">
      <w:pPr>
        <w:numPr>
          <w:ilvl w:val="0"/>
          <w:numId w:val="4"/>
        </w:numPr>
      </w:pPr>
      <w:r>
        <w:t xml:space="preserve">Follow the Colorado State Forest Service for all mitigation guidelines. </w:t>
      </w:r>
      <w:r>
        <w:rPr>
          <w:b/>
          <w:i/>
          <w:color w:val="FF0000"/>
          <w:u w:val="single"/>
        </w:rPr>
        <w:t xml:space="preserve">Low-Flammability Landscape Plants and Ignition-Resistant Landscape plants. Leave all plant tags in place for fire final inspection. </w:t>
      </w:r>
    </w:p>
    <w:p w14:paraId="26375BD9" w14:textId="77777777" w:rsidR="00476795" w:rsidRDefault="00476795" w:rsidP="00476795">
      <w:pPr>
        <w:numPr>
          <w:ilvl w:val="0"/>
          <w:numId w:val="4"/>
        </w:numPr>
      </w:pPr>
      <w:r>
        <w:t xml:space="preserve">Review the comment letter from Falcon Fire Protection District. You are responsible for complying with the entire fire code as amended and any applicable NFPA’s referenced. </w:t>
      </w:r>
    </w:p>
    <w:p w14:paraId="34CB4AD5" w14:textId="77777777" w:rsidR="00476795" w:rsidRDefault="00476795" w:rsidP="00476795">
      <w:pPr>
        <w:numPr>
          <w:ilvl w:val="0"/>
          <w:numId w:val="4"/>
        </w:numPr>
      </w:pPr>
      <w:r>
        <w:t xml:space="preserve">Ensure all Action Items have been addressed. </w:t>
      </w:r>
    </w:p>
    <w:p w14:paraId="7D11E183" w14:textId="3621E75D" w:rsidR="00274375" w:rsidRDefault="00476795" w:rsidP="00967967">
      <w:pPr>
        <w:numPr>
          <w:ilvl w:val="0"/>
          <w:numId w:val="4"/>
        </w:numPr>
      </w:pPr>
      <w:r>
        <w:t xml:space="preserve">Plan review comments (this letter) shall be on site and available to the fire inspector. </w:t>
      </w:r>
    </w:p>
    <w:p w14:paraId="78161BD8" w14:textId="033733E5" w:rsidR="00274375" w:rsidRDefault="00274375" w:rsidP="00274375"/>
    <w:p w14:paraId="77CE8692" w14:textId="490D7997" w:rsidR="00274375" w:rsidRDefault="00274375" w:rsidP="00274375"/>
    <w:p w14:paraId="796FE11F" w14:textId="77777777" w:rsidR="00C62B92" w:rsidRDefault="00C62B92" w:rsidP="00274375">
      <w:pPr>
        <w:rPr>
          <w:b/>
        </w:rPr>
      </w:pPr>
    </w:p>
    <w:p w14:paraId="37356DB3" w14:textId="122EFE9E" w:rsidR="00B3754C" w:rsidRPr="00C2393E" w:rsidRDefault="00C2393E" w:rsidP="00B3754C">
      <w:r w:rsidRPr="00C2393E">
        <w:t xml:space="preserve">Please let me know if there are any questions and/or concerns. You may contact me via the email at the top of the letter. </w:t>
      </w:r>
    </w:p>
    <w:p w14:paraId="17BE4B7D" w14:textId="77777777" w:rsidR="00B3754C" w:rsidRPr="00C2393E" w:rsidRDefault="00B3754C" w:rsidP="00B3754C"/>
    <w:p w14:paraId="7A62BD9E" w14:textId="77777777" w:rsidR="00B3754C" w:rsidRPr="00C2393E" w:rsidRDefault="00B3754C" w:rsidP="00B3754C"/>
    <w:p w14:paraId="391153FB" w14:textId="77777777" w:rsidR="00B3754C" w:rsidRPr="00C2393E" w:rsidRDefault="00B3754C" w:rsidP="00B3754C">
      <w:r w:rsidRPr="00C2393E">
        <w:t>Sincerely,</w:t>
      </w:r>
    </w:p>
    <w:p w14:paraId="68CF8824" w14:textId="77777777" w:rsidR="00B3754C" w:rsidRPr="00C2393E" w:rsidRDefault="00B3754C" w:rsidP="00B3754C"/>
    <w:p w14:paraId="7CA6C39C" w14:textId="77777777" w:rsidR="00B3754C" w:rsidRPr="00C2393E" w:rsidRDefault="00B3754C" w:rsidP="00B3754C">
      <w:pPr>
        <w:rPr>
          <w:color w:val="FF0000"/>
        </w:rPr>
      </w:pPr>
      <w:r w:rsidRPr="00C2393E">
        <w:rPr>
          <w:color w:val="FF0000"/>
        </w:rPr>
        <w:t>Curtis L. Kauffman</w:t>
      </w:r>
    </w:p>
    <w:p w14:paraId="24AB4583" w14:textId="77777777" w:rsidR="00B3754C" w:rsidRPr="00C2393E" w:rsidRDefault="00B3754C" w:rsidP="00B3754C"/>
    <w:p w14:paraId="3738E4C0" w14:textId="77777777" w:rsidR="003C3BDF" w:rsidRPr="00C2393E" w:rsidRDefault="003C3BDF" w:rsidP="003C3BDF">
      <w:r w:rsidRPr="00C2393E">
        <w:t>Curtis L. Kauffman</w:t>
      </w:r>
    </w:p>
    <w:p w14:paraId="1CAC6415" w14:textId="77777777" w:rsidR="003C3BDF" w:rsidRPr="00C2393E" w:rsidRDefault="003C3BDF" w:rsidP="003C3BDF">
      <w:r w:rsidRPr="00C2393E">
        <w:t>Fire Prevention Division</w:t>
      </w:r>
    </w:p>
    <w:p w14:paraId="1C88344D" w14:textId="4213E746" w:rsidR="003C3BDF" w:rsidRPr="00C2393E" w:rsidRDefault="003C3BDF" w:rsidP="003C3BDF">
      <w:r w:rsidRPr="00C2393E">
        <w:t xml:space="preserve">Lieutenant/Fire </w:t>
      </w:r>
      <w:r w:rsidR="00FA052C" w:rsidRPr="00C2393E">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Klee One"/>
    <w:panose1 w:val="020B0604020202020204"/>
    <w:charset w:val="80"/>
    <w:family w:val="auto"/>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20B0604020202020204"/>
    <w:charset w:val="80"/>
    <w:family w:val="auto"/>
    <w:pitch w:val="default"/>
    <w:sig w:usb0="00000001" w:usb1="08070000" w:usb2="00000010" w:usb3="00000000" w:csb0="00020000" w:csb1="00000000"/>
  </w:font>
  <w:font w:name="Arial-ItalicMT">
    <w:altName w:val="Arial"/>
    <w:panose1 w:val="020B0604020202020204"/>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fF4j9Zh" int2:invalidationBookmarkName="" int2:hashCode="79brjmMqdp/FzT" int2:id="n70DSj2Q">
      <int2:state int2:value="Rejected" int2:type="style"/>
    </int2:bookmark>
    <int2:bookmark int2:bookmarkName="_Int_RObsEEFG" int2:invalidationBookmarkName="" int2:hashCode="G3BPsVE/TMVfRv" int2:id="cxVKWCgx">
      <int2:state int2:value="Rejected" int2:type="style"/>
    </int2:bookmark>
    <int2:bookmark int2:bookmarkName="_Int_OHEI53dU" int2:invalidationBookmarkName="" int2:hashCode="hCy70cDPJAl1Gx" int2:id="Ab33U7Lb">
      <int2:state int2:value="Rejected" int2:type="style"/>
    </int2:bookmark>
    <int2:bookmark int2:bookmarkName="_Int_uIfvvC2i" int2:invalidationBookmarkName="" int2:hashCode="V+nbZ0UcitWs0S" int2:id="GhkYZJ9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7919D5"/>
    <w:multiLevelType w:val="multilevel"/>
    <w:tmpl w:val="5490ADF6"/>
    <w:lvl w:ilvl="0">
      <w:start w:val="506"/>
      <w:numFmt w:val="decimal"/>
      <w:lvlText w:val="%1"/>
      <w:lvlJc w:val="left"/>
      <w:pPr>
        <w:ind w:left="795" w:hanging="795"/>
      </w:pPr>
      <w:rPr>
        <w:rFonts w:ascii="Arial-BoldMT" w:hAnsi="Arial-BoldMT" w:hint="default"/>
        <w:b/>
      </w:rPr>
    </w:lvl>
    <w:lvl w:ilvl="1">
      <w:start w:val="1"/>
      <w:numFmt w:val="decimal"/>
      <w:lvlText w:val="%1.%2"/>
      <w:lvlJc w:val="left"/>
      <w:pPr>
        <w:ind w:left="795" w:hanging="795"/>
      </w:pPr>
      <w:rPr>
        <w:rFonts w:ascii="Arial-BoldMT" w:hAnsi="Arial-BoldMT" w:hint="default"/>
        <w:b/>
      </w:rPr>
    </w:lvl>
    <w:lvl w:ilvl="2">
      <w:start w:val="1"/>
      <w:numFmt w:val="decimal"/>
      <w:lvlText w:val="%1.%2.%3"/>
      <w:lvlJc w:val="left"/>
      <w:pPr>
        <w:ind w:left="795" w:hanging="795"/>
      </w:pPr>
      <w:rPr>
        <w:rFonts w:ascii="Arial-BoldMT" w:hAnsi="Arial-BoldMT" w:hint="default"/>
        <w:b/>
      </w:rPr>
    </w:lvl>
    <w:lvl w:ilvl="3">
      <w:start w:val="1"/>
      <w:numFmt w:val="decimal"/>
      <w:lvlText w:val="%1.%2.%3.%4"/>
      <w:lvlJc w:val="left"/>
      <w:pPr>
        <w:ind w:left="1080" w:hanging="1080"/>
      </w:pPr>
      <w:rPr>
        <w:rFonts w:ascii="Arial-BoldMT" w:hAnsi="Arial-BoldMT" w:hint="default"/>
        <w:b/>
      </w:rPr>
    </w:lvl>
    <w:lvl w:ilvl="4">
      <w:start w:val="1"/>
      <w:numFmt w:val="decimal"/>
      <w:lvlText w:val="%1.%2.%3.%4.%5"/>
      <w:lvlJc w:val="left"/>
      <w:pPr>
        <w:ind w:left="1080" w:hanging="1080"/>
      </w:pPr>
      <w:rPr>
        <w:rFonts w:ascii="Arial-BoldMT" w:hAnsi="Arial-BoldMT" w:hint="default"/>
        <w:b/>
      </w:rPr>
    </w:lvl>
    <w:lvl w:ilvl="5">
      <w:start w:val="1"/>
      <w:numFmt w:val="decimal"/>
      <w:lvlText w:val="%1.%2.%3.%4.%5.%6"/>
      <w:lvlJc w:val="left"/>
      <w:pPr>
        <w:ind w:left="1440" w:hanging="1440"/>
      </w:pPr>
      <w:rPr>
        <w:rFonts w:ascii="Arial-BoldMT" w:hAnsi="Arial-BoldMT" w:hint="default"/>
        <w:b/>
      </w:rPr>
    </w:lvl>
    <w:lvl w:ilvl="6">
      <w:start w:val="1"/>
      <w:numFmt w:val="decimal"/>
      <w:lvlText w:val="%1.%2.%3.%4.%5.%6.%7"/>
      <w:lvlJc w:val="left"/>
      <w:pPr>
        <w:ind w:left="1440" w:hanging="1440"/>
      </w:pPr>
      <w:rPr>
        <w:rFonts w:ascii="Arial-BoldMT" w:hAnsi="Arial-BoldMT" w:hint="default"/>
        <w:b/>
      </w:rPr>
    </w:lvl>
    <w:lvl w:ilvl="7">
      <w:start w:val="1"/>
      <w:numFmt w:val="decimal"/>
      <w:lvlText w:val="%1.%2.%3.%4.%5.%6.%7.%8"/>
      <w:lvlJc w:val="left"/>
      <w:pPr>
        <w:ind w:left="1800" w:hanging="1800"/>
      </w:pPr>
      <w:rPr>
        <w:rFonts w:ascii="Arial-BoldMT" w:hAnsi="Arial-BoldMT" w:hint="default"/>
        <w:b/>
      </w:rPr>
    </w:lvl>
    <w:lvl w:ilvl="8">
      <w:start w:val="1"/>
      <w:numFmt w:val="decimal"/>
      <w:lvlText w:val="%1.%2.%3.%4.%5.%6.%7.%8.%9"/>
      <w:lvlJc w:val="left"/>
      <w:pPr>
        <w:ind w:left="1800" w:hanging="1800"/>
      </w:pPr>
      <w:rPr>
        <w:rFonts w:ascii="Arial-BoldMT" w:hAnsi="Arial-BoldMT" w:hint="default"/>
        <w:b/>
      </w:rPr>
    </w:lvl>
  </w:abstractNum>
  <w:abstractNum w:abstractNumId="4"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081B"/>
    <w:multiLevelType w:val="hybridMultilevel"/>
    <w:tmpl w:val="D21CF5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3D7473"/>
    <w:multiLevelType w:val="hybridMultilevel"/>
    <w:tmpl w:val="96D610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936229">
    <w:abstractNumId w:val="0"/>
  </w:num>
  <w:num w:numId="2" w16cid:durableId="1421756915">
    <w:abstractNumId w:val="1"/>
  </w:num>
  <w:num w:numId="3" w16cid:durableId="1065757684">
    <w:abstractNumId w:val="4"/>
  </w:num>
  <w:num w:numId="4" w16cid:durableId="1952781368">
    <w:abstractNumId w:val="2"/>
  </w:num>
  <w:num w:numId="5" w16cid:durableId="1801336665">
    <w:abstractNumId w:val="6"/>
  </w:num>
  <w:num w:numId="6" w16cid:durableId="131868071">
    <w:abstractNumId w:val="3"/>
  </w:num>
  <w:num w:numId="7" w16cid:durableId="1336806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432A6"/>
    <w:rsid w:val="00051194"/>
    <w:rsid w:val="00061A77"/>
    <w:rsid w:val="00064D07"/>
    <w:rsid w:val="00076DE4"/>
    <w:rsid w:val="000A1F6A"/>
    <w:rsid w:val="000C3D65"/>
    <w:rsid w:val="000F5D12"/>
    <w:rsid w:val="001063FD"/>
    <w:rsid w:val="00122C98"/>
    <w:rsid w:val="0014290D"/>
    <w:rsid w:val="00146BA6"/>
    <w:rsid w:val="001C01E3"/>
    <w:rsid w:val="001D1CCC"/>
    <w:rsid w:val="001D6147"/>
    <w:rsid w:val="001F600B"/>
    <w:rsid w:val="0020627D"/>
    <w:rsid w:val="002171EB"/>
    <w:rsid w:val="002212EA"/>
    <w:rsid w:val="002326BA"/>
    <w:rsid w:val="00232CA4"/>
    <w:rsid w:val="00253A32"/>
    <w:rsid w:val="00253CCD"/>
    <w:rsid w:val="00274375"/>
    <w:rsid w:val="00274ED3"/>
    <w:rsid w:val="00292166"/>
    <w:rsid w:val="002B29A4"/>
    <w:rsid w:val="002B3F75"/>
    <w:rsid w:val="002D0257"/>
    <w:rsid w:val="00300187"/>
    <w:rsid w:val="00311D05"/>
    <w:rsid w:val="00320F63"/>
    <w:rsid w:val="0036337B"/>
    <w:rsid w:val="003715FE"/>
    <w:rsid w:val="003736E6"/>
    <w:rsid w:val="00382D9F"/>
    <w:rsid w:val="003A2BD7"/>
    <w:rsid w:val="003A324A"/>
    <w:rsid w:val="003A5984"/>
    <w:rsid w:val="003A6A55"/>
    <w:rsid w:val="003C3BDF"/>
    <w:rsid w:val="003D6D7E"/>
    <w:rsid w:val="003E649C"/>
    <w:rsid w:val="003F5681"/>
    <w:rsid w:val="00433319"/>
    <w:rsid w:val="00441207"/>
    <w:rsid w:val="00445B13"/>
    <w:rsid w:val="00476795"/>
    <w:rsid w:val="004901E2"/>
    <w:rsid w:val="004B0752"/>
    <w:rsid w:val="004C5023"/>
    <w:rsid w:val="004E7F54"/>
    <w:rsid w:val="004F5601"/>
    <w:rsid w:val="005218FD"/>
    <w:rsid w:val="005442CE"/>
    <w:rsid w:val="00547C90"/>
    <w:rsid w:val="0057568F"/>
    <w:rsid w:val="0058000C"/>
    <w:rsid w:val="00592A59"/>
    <w:rsid w:val="005A7C6E"/>
    <w:rsid w:val="005B1159"/>
    <w:rsid w:val="005E29C4"/>
    <w:rsid w:val="005E3E42"/>
    <w:rsid w:val="00602504"/>
    <w:rsid w:val="006136BE"/>
    <w:rsid w:val="00621F90"/>
    <w:rsid w:val="0063117D"/>
    <w:rsid w:val="006543FC"/>
    <w:rsid w:val="00681217"/>
    <w:rsid w:val="00697595"/>
    <w:rsid w:val="00697A15"/>
    <w:rsid w:val="006B290C"/>
    <w:rsid w:val="006E1943"/>
    <w:rsid w:val="006F5375"/>
    <w:rsid w:val="00700FF3"/>
    <w:rsid w:val="00712841"/>
    <w:rsid w:val="00747864"/>
    <w:rsid w:val="00747A52"/>
    <w:rsid w:val="00753471"/>
    <w:rsid w:val="00762CC0"/>
    <w:rsid w:val="007709F3"/>
    <w:rsid w:val="00777E06"/>
    <w:rsid w:val="00787D10"/>
    <w:rsid w:val="007948A4"/>
    <w:rsid w:val="007B1F99"/>
    <w:rsid w:val="007B674E"/>
    <w:rsid w:val="007D0C51"/>
    <w:rsid w:val="007E42BF"/>
    <w:rsid w:val="007E659B"/>
    <w:rsid w:val="0080798D"/>
    <w:rsid w:val="00810016"/>
    <w:rsid w:val="008107F6"/>
    <w:rsid w:val="008250CD"/>
    <w:rsid w:val="0082532A"/>
    <w:rsid w:val="00830A50"/>
    <w:rsid w:val="008325A7"/>
    <w:rsid w:val="00851960"/>
    <w:rsid w:val="0087547C"/>
    <w:rsid w:val="008A293F"/>
    <w:rsid w:val="008B4651"/>
    <w:rsid w:val="008D1EA6"/>
    <w:rsid w:val="008E003C"/>
    <w:rsid w:val="008F5C12"/>
    <w:rsid w:val="0091735F"/>
    <w:rsid w:val="00922A0D"/>
    <w:rsid w:val="009272FC"/>
    <w:rsid w:val="00950251"/>
    <w:rsid w:val="00967967"/>
    <w:rsid w:val="00971D13"/>
    <w:rsid w:val="009A7C6A"/>
    <w:rsid w:val="009D7534"/>
    <w:rsid w:val="009F58D8"/>
    <w:rsid w:val="00A224B4"/>
    <w:rsid w:val="00A32E69"/>
    <w:rsid w:val="00A60BDB"/>
    <w:rsid w:val="00A63F07"/>
    <w:rsid w:val="00A70FD3"/>
    <w:rsid w:val="00A72D1D"/>
    <w:rsid w:val="00A91C4C"/>
    <w:rsid w:val="00AB5642"/>
    <w:rsid w:val="00AD5441"/>
    <w:rsid w:val="00AE4D8F"/>
    <w:rsid w:val="00AF270B"/>
    <w:rsid w:val="00B1358E"/>
    <w:rsid w:val="00B3754C"/>
    <w:rsid w:val="00B55ECA"/>
    <w:rsid w:val="00B676F8"/>
    <w:rsid w:val="00B763F0"/>
    <w:rsid w:val="00B83DF6"/>
    <w:rsid w:val="00B93AA7"/>
    <w:rsid w:val="00BA20EE"/>
    <w:rsid w:val="00BA3677"/>
    <w:rsid w:val="00BA72A9"/>
    <w:rsid w:val="00BB6CA3"/>
    <w:rsid w:val="00BE3C41"/>
    <w:rsid w:val="00C15F43"/>
    <w:rsid w:val="00C2393E"/>
    <w:rsid w:val="00C31BFD"/>
    <w:rsid w:val="00C44F94"/>
    <w:rsid w:val="00C460BE"/>
    <w:rsid w:val="00C5053C"/>
    <w:rsid w:val="00C5734A"/>
    <w:rsid w:val="00C62B92"/>
    <w:rsid w:val="00C952E4"/>
    <w:rsid w:val="00CB3C17"/>
    <w:rsid w:val="00CB6C1C"/>
    <w:rsid w:val="00CC43BB"/>
    <w:rsid w:val="00CD48B0"/>
    <w:rsid w:val="00CD5D5E"/>
    <w:rsid w:val="00D00CB4"/>
    <w:rsid w:val="00D04AEA"/>
    <w:rsid w:val="00D04C0A"/>
    <w:rsid w:val="00D121C8"/>
    <w:rsid w:val="00D13B03"/>
    <w:rsid w:val="00D3284E"/>
    <w:rsid w:val="00D7582A"/>
    <w:rsid w:val="00D90AD4"/>
    <w:rsid w:val="00DA0018"/>
    <w:rsid w:val="00DA5F70"/>
    <w:rsid w:val="00DA733B"/>
    <w:rsid w:val="00DC5E2D"/>
    <w:rsid w:val="00DC66CE"/>
    <w:rsid w:val="00DD7B16"/>
    <w:rsid w:val="00DF2DD0"/>
    <w:rsid w:val="00DF39E3"/>
    <w:rsid w:val="00E201A8"/>
    <w:rsid w:val="00E261E3"/>
    <w:rsid w:val="00E349DF"/>
    <w:rsid w:val="00E34B80"/>
    <w:rsid w:val="00E37C76"/>
    <w:rsid w:val="00E52E82"/>
    <w:rsid w:val="00E56F3F"/>
    <w:rsid w:val="00E90300"/>
    <w:rsid w:val="00EA12AB"/>
    <w:rsid w:val="00EB15D8"/>
    <w:rsid w:val="00EB7280"/>
    <w:rsid w:val="00EC0A44"/>
    <w:rsid w:val="00ED3D0B"/>
    <w:rsid w:val="00EF2014"/>
    <w:rsid w:val="00EF54B5"/>
    <w:rsid w:val="00F15D73"/>
    <w:rsid w:val="00F30BB3"/>
    <w:rsid w:val="00F4123D"/>
    <w:rsid w:val="00F46CCD"/>
    <w:rsid w:val="00F53201"/>
    <w:rsid w:val="00F652E6"/>
    <w:rsid w:val="00F72A7F"/>
    <w:rsid w:val="00F82AFC"/>
    <w:rsid w:val="00FA052C"/>
    <w:rsid w:val="00FA2503"/>
    <w:rsid w:val="00FC09E5"/>
    <w:rsid w:val="00FC5DA4"/>
    <w:rsid w:val="00FD6BD7"/>
    <w:rsid w:val="00FD7671"/>
    <w:rsid w:val="00FD7D07"/>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CB3C17"/>
    <w:rPr>
      <w:rFonts w:ascii="Arial-BoldMT" w:hAnsi="Arial-BoldMT" w:hint="default"/>
      <w:b/>
      <w:bCs/>
      <w:i w:val="0"/>
      <w:iCs w:val="0"/>
      <w:color w:val="404040"/>
      <w:sz w:val="24"/>
      <w:szCs w:val="24"/>
    </w:rPr>
  </w:style>
  <w:style w:type="character" w:customStyle="1" w:styleId="fontstyle21">
    <w:name w:val="fontstyle21"/>
    <w:basedOn w:val="DefaultParagraphFont"/>
    <w:rsid w:val="00CB3C17"/>
    <w:rPr>
      <w:rFonts w:ascii="ArialMT" w:hAnsi="ArialMT" w:hint="default"/>
      <w:b w:val="0"/>
      <w:bCs w:val="0"/>
      <w:i w:val="0"/>
      <w:iCs w:val="0"/>
      <w:color w:val="F800F8"/>
      <w:sz w:val="24"/>
      <w:szCs w:val="24"/>
    </w:rPr>
  </w:style>
  <w:style w:type="character" w:customStyle="1" w:styleId="fontstyle31">
    <w:name w:val="fontstyle31"/>
    <w:basedOn w:val="DefaultParagraphFont"/>
    <w:rsid w:val="00CB3C17"/>
    <w:rPr>
      <w:rFonts w:ascii="Arial-ItalicMT" w:hAnsi="Arial-ItalicMT" w:hint="default"/>
      <w:b w:val="0"/>
      <w:bCs w:val="0"/>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7857">
      <w:bodyDiv w:val="1"/>
      <w:marLeft w:val="0"/>
      <w:marRight w:val="0"/>
      <w:marTop w:val="0"/>
      <w:marBottom w:val="0"/>
      <w:divBdr>
        <w:top w:val="none" w:sz="0" w:space="0" w:color="auto"/>
        <w:left w:val="none" w:sz="0" w:space="0" w:color="auto"/>
        <w:bottom w:val="none" w:sz="0" w:space="0" w:color="auto"/>
        <w:right w:val="none" w:sz="0" w:space="0" w:color="auto"/>
      </w:divBdr>
    </w:div>
    <w:div w:id="543443953">
      <w:bodyDiv w:val="1"/>
      <w:marLeft w:val="0"/>
      <w:marRight w:val="0"/>
      <w:marTop w:val="0"/>
      <w:marBottom w:val="0"/>
      <w:divBdr>
        <w:top w:val="none" w:sz="0" w:space="0" w:color="auto"/>
        <w:left w:val="none" w:sz="0" w:space="0" w:color="auto"/>
        <w:bottom w:val="none" w:sz="0" w:space="0" w:color="auto"/>
        <w:right w:val="none" w:sz="0" w:space="0" w:color="auto"/>
      </w:divBdr>
    </w:div>
    <w:div w:id="763846834">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kauffman@falconfirep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0.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joeketke@elpaso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79054-AEED-4D82-AA7E-B6C41C8918D6}">
  <ds:schemaRefs>
    <ds:schemaRef ds:uri="http://schemas.microsoft.com/office/2006/metadata/properties"/>
    <ds:schemaRef ds:uri="http://www.w3.org/2000/xmlns/"/>
    <ds:schemaRef ds:uri="da8f4a50-8db5-41de-ac0f-91a1b6cb4abf"/>
    <ds:schemaRef ds:uri="http://www.w3.org/2001/XMLSchema-instance"/>
  </ds:schemaRefs>
</ds:datastoreItem>
</file>

<file path=customXml/itemProps2.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0/xmlns/"/>
    <ds:schemaRef ds:uri="http://www.w3.org/2001/XMLSchema"/>
    <ds:schemaRef ds:uri="da8f4a50-8db5-41de-ac0f-91a1b6cb4abf"/>
  </ds:schemaRefs>
</ds:datastoreItem>
</file>

<file path=customXml/itemProps3.xml><?xml version="1.0" encoding="utf-8"?>
<ds:datastoreItem xmlns:ds="http://schemas.openxmlformats.org/officeDocument/2006/customXml" ds:itemID="{F7BC548A-BDE0-4986-BB31-55DC4A24D43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D0D98738-1AC7-438B-9570-D2D72907E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2025-02-24T21:41:00Z</cp:lastPrinted>
  <dcterms:created xsi:type="dcterms:W3CDTF">2026-05-06T15:20:00Z</dcterms:created>
  <dcterms:modified xsi:type="dcterms:W3CDTF">2026-05-06T15:20:00Z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