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3EBF" w14:textId="77777777" w:rsidR="00F15DCC" w:rsidRDefault="00F15DCC" w:rsidP="002514D7">
      <w:pPr>
        <w:tabs>
          <w:tab w:val="left" w:pos="990"/>
        </w:tabs>
      </w:pPr>
    </w:p>
    <w:p w14:paraId="5061E321" w14:textId="77777777" w:rsidR="00D06E68" w:rsidRDefault="00AC53B4" w:rsidP="002514D7">
      <w:pPr>
        <w:tabs>
          <w:tab w:val="left" w:pos="990"/>
        </w:tabs>
      </w:pPr>
      <w:r>
        <w:rPr>
          <w:noProof/>
        </w:rPr>
        <mc:AlternateContent>
          <mc:Choice Requires="wps">
            <w:drawing>
              <wp:anchor distT="0" distB="0" distL="114300" distR="114300" simplePos="0" relativeHeight="251658240" behindDoc="0" locked="0" layoutInCell="1" allowOverlap="1" wp14:anchorId="68067C64" wp14:editId="5BDF06E1">
                <wp:simplePos x="0" y="0"/>
                <wp:positionH relativeFrom="column">
                  <wp:posOffset>-928370</wp:posOffset>
                </wp:positionH>
                <wp:positionV relativeFrom="paragraph">
                  <wp:posOffset>52070</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73D5" w14:textId="77777777"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11A78FAB" w14:textId="77777777"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14:paraId="643F4C11" w14:textId="77777777"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67C64" id="_x0000_t202" coordsize="21600,21600" o:spt="202" path="m,l,21600r21600,l21600,xe">
                <v:stroke joinstyle="miter"/>
                <v:path gradientshapeok="t" o:connecttype="rect"/>
              </v:shapetype>
              <v:shape id="Text Box 3" o:spid="_x0000_s1026" type="#_x0000_t202" style="position:absolute;margin-left:-73.1pt;margin-top:4.1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" filled="f" stroked="f">
                <v:textbox>
                  <w:txbxContent>
                    <w:p w14:paraId="484B73D5" w14:textId="77777777"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11A78FAB" w14:textId="77777777"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14:paraId="643F4C11" w14:textId="77777777" w:rsidR="00E53FBF" w:rsidRPr="004245EA" w:rsidRDefault="00E53FBF" w:rsidP="00E53FBF">
                      <w:pPr>
                        <w:jc w:val="center"/>
                        <w:rPr>
                          <w:b/>
                          <w:smallCaps/>
                          <w:sz w:val="28"/>
                          <w:szCs w:val="28"/>
                        </w:rPr>
                      </w:pPr>
                    </w:p>
                  </w:txbxContent>
                </v:textbox>
              </v:shape>
            </w:pict>
          </mc:Fallback>
        </mc:AlternateContent>
      </w:r>
    </w:p>
    <w:p w14:paraId="5653363D" w14:textId="77777777" w:rsidR="00A35E24" w:rsidRDefault="00A35E24" w:rsidP="002514D7">
      <w:pPr>
        <w:tabs>
          <w:tab w:val="left" w:pos="990"/>
        </w:tabs>
      </w:pPr>
    </w:p>
    <w:p w14:paraId="5154B1E1" w14:textId="77777777" w:rsidR="00561C9E" w:rsidRDefault="00561C9E" w:rsidP="00561C9E">
      <w:pPr>
        <w:spacing w:line="276" w:lineRule="auto"/>
      </w:pPr>
    </w:p>
    <w:p w14:paraId="3938D7E9" w14:textId="77777777" w:rsidR="00561C9E" w:rsidRPr="009D70BE" w:rsidRDefault="00561C9E" w:rsidP="00561C9E">
      <w:pPr>
        <w:spacing w:line="276" w:lineRule="auto"/>
        <w:rPr>
          <w:rFonts w:ascii="Arial" w:eastAsiaTheme="minorHAnsi" w:hAnsi="Arial" w:cs="Arial"/>
          <w:color w:val="FF0000"/>
        </w:rPr>
      </w:pPr>
    </w:p>
    <w:p w14:paraId="54BFD0F2" w14:textId="77777777" w:rsidR="00561C9E" w:rsidRPr="00BA5CB7" w:rsidRDefault="00561C9E" w:rsidP="00A13779">
      <w:pPr>
        <w:widowControl w:val="0"/>
        <w:tabs>
          <w:tab w:val="left" w:pos="1587"/>
        </w:tabs>
        <w:spacing w:line="276" w:lineRule="auto"/>
        <w:ind w:right="216"/>
        <w:rPr>
          <w:rFonts w:ascii="Arial" w:eastAsia="Calibri" w:hAnsi="Arial" w:cs="Arial"/>
        </w:rPr>
      </w:pPr>
      <w:r w:rsidRPr="00BA5CB7">
        <w:rPr>
          <w:rFonts w:ascii="Arial" w:eastAsia="Calibri" w:hAnsi="Arial" w:cs="Arial"/>
        </w:rPr>
        <w:t>To:</w:t>
      </w:r>
      <w:r w:rsidRPr="00BA5CB7">
        <w:rPr>
          <w:rFonts w:ascii="Arial" w:eastAsia="Calibri" w:hAnsi="Arial" w:cs="Arial"/>
        </w:rPr>
        <w:tab/>
        <w:t>Board of County Commissioners</w:t>
      </w:r>
    </w:p>
    <w:p w14:paraId="5DBFC2CE" w14:textId="77777777" w:rsidR="00561C9E" w:rsidRDefault="00561C9E" w:rsidP="00A13779">
      <w:pPr>
        <w:widowControl w:val="0"/>
        <w:tabs>
          <w:tab w:val="left" w:pos="1587"/>
        </w:tabs>
        <w:spacing w:line="276" w:lineRule="auto"/>
        <w:ind w:left="1599" w:right="216" w:hanging="1469"/>
        <w:rPr>
          <w:rFonts w:ascii="Arial" w:eastAsia="Calibri" w:hAnsi="Arial" w:cs="Arial"/>
        </w:rPr>
      </w:pPr>
      <w:r w:rsidRPr="00BA5CB7">
        <w:rPr>
          <w:rFonts w:ascii="Arial" w:eastAsia="Calibri" w:hAnsi="Arial" w:cs="Arial"/>
        </w:rPr>
        <w:tab/>
      </w:r>
      <w:r>
        <w:rPr>
          <w:rFonts w:ascii="Arial" w:eastAsia="Calibri" w:hAnsi="Arial" w:cs="Arial"/>
        </w:rPr>
        <w:t>Mark Waller, Chair</w:t>
      </w:r>
    </w:p>
    <w:p w14:paraId="20A15272" w14:textId="77777777" w:rsidR="00A13779" w:rsidRPr="00BA5CB7" w:rsidRDefault="00A13779" w:rsidP="00A13779">
      <w:pPr>
        <w:widowControl w:val="0"/>
        <w:tabs>
          <w:tab w:val="left" w:pos="1587"/>
        </w:tabs>
        <w:spacing w:line="276" w:lineRule="auto"/>
        <w:ind w:left="1599" w:right="216" w:hanging="1469"/>
        <w:rPr>
          <w:rFonts w:ascii="Arial" w:eastAsia="Calibri" w:hAnsi="Arial" w:cs="Arial"/>
        </w:rPr>
      </w:pPr>
    </w:p>
    <w:p w14:paraId="67E4B1AF" w14:textId="77777777" w:rsidR="00561C9E" w:rsidRDefault="00561C9E" w:rsidP="00B3130E">
      <w:pPr>
        <w:widowControl w:val="0"/>
        <w:tabs>
          <w:tab w:val="left" w:pos="1587"/>
          <w:tab w:val="left" w:pos="8460"/>
        </w:tabs>
        <w:spacing w:line="276" w:lineRule="auto"/>
        <w:ind w:right="1920"/>
        <w:rPr>
          <w:rFonts w:ascii="Arial" w:eastAsia="Calibri" w:hAnsi="Arial" w:cs="Arial"/>
        </w:rPr>
      </w:pPr>
      <w:r w:rsidRPr="00BA5CB7">
        <w:rPr>
          <w:rFonts w:ascii="Arial" w:eastAsia="Calibri" w:hAnsi="Arial" w:cs="Arial"/>
        </w:rPr>
        <w:t>From:</w:t>
      </w:r>
      <w:r w:rsidRPr="00BA5CB7">
        <w:rPr>
          <w:rFonts w:ascii="Arial" w:eastAsia="Calibri" w:hAnsi="Arial" w:cs="Arial"/>
        </w:rPr>
        <w:tab/>
      </w:r>
      <w:r w:rsidR="00A144B7">
        <w:rPr>
          <w:rFonts w:ascii="Arial" w:eastAsia="Calibri" w:hAnsi="Arial" w:cs="Arial"/>
        </w:rPr>
        <w:t xml:space="preserve">Mindy Madden, Code Enforcement Supervisor </w:t>
      </w:r>
    </w:p>
    <w:p w14:paraId="4B817159" w14:textId="77777777" w:rsidR="00561C9E" w:rsidRPr="00A144B7" w:rsidRDefault="00561C9E" w:rsidP="00A144B7">
      <w:pPr>
        <w:widowControl w:val="0"/>
        <w:tabs>
          <w:tab w:val="left" w:pos="1587"/>
          <w:tab w:val="left" w:pos="8460"/>
        </w:tabs>
        <w:spacing w:line="276" w:lineRule="auto"/>
        <w:ind w:left="1592" w:right="1920" w:hanging="1464"/>
        <w:rPr>
          <w:rFonts w:ascii="Arial" w:eastAsia="Calibri" w:hAnsi="Arial" w:cs="Arial"/>
        </w:rPr>
      </w:pPr>
      <w:r>
        <w:rPr>
          <w:rFonts w:ascii="Arial" w:eastAsia="Calibri" w:hAnsi="Arial" w:cs="Arial"/>
        </w:rPr>
        <w:tab/>
      </w:r>
      <w:r w:rsidR="00A144B7">
        <w:rPr>
          <w:rFonts w:ascii="Arial" w:eastAsia="Calibri" w:hAnsi="Arial" w:cs="Arial"/>
        </w:rPr>
        <w:t>Craig Dossey, Executive Director</w:t>
      </w:r>
      <w:r>
        <w:rPr>
          <w:rFonts w:ascii="Arial" w:eastAsia="Calibri" w:hAnsi="Arial" w:cs="Arial"/>
        </w:rPr>
        <w:t xml:space="preserve"> </w:t>
      </w:r>
      <w:r w:rsidRPr="00BA5CB7">
        <w:rPr>
          <w:rFonts w:ascii="Arial" w:eastAsia="Calibri" w:hAnsi="Arial" w:cs="Arial"/>
          <w:w w:val="98"/>
        </w:rPr>
        <w:t xml:space="preserve"> </w:t>
      </w:r>
    </w:p>
    <w:p w14:paraId="3FE636F4" w14:textId="77777777" w:rsidR="00A13779" w:rsidRDefault="00A13779" w:rsidP="00561C9E">
      <w:pPr>
        <w:widowControl w:val="0"/>
        <w:tabs>
          <w:tab w:val="left" w:pos="1587"/>
          <w:tab w:val="left" w:pos="8460"/>
        </w:tabs>
        <w:spacing w:line="276" w:lineRule="auto"/>
        <w:ind w:left="1592" w:right="1920" w:hanging="1464"/>
        <w:rPr>
          <w:rFonts w:ascii="Arial" w:eastAsia="Calibri" w:hAnsi="Arial" w:cs="Arial"/>
          <w:w w:val="98"/>
        </w:rPr>
      </w:pPr>
    </w:p>
    <w:p w14:paraId="7DD6FD63" w14:textId="218048A9" w:rsidR="00A13779" w:rsidRDefault="00A13779" w:rsidP="00B3130E">
      <w:pPr>
        <w:widowControl w:val="0"/>
        <w:tabs>
          <w:tab w:val="left" w:pos="1587"/>
        </w:tabs>
        <w:spacing w:line="276" w:lineRule="auto"/>
        <w:ind w:right="210"/>
        <w:rPr>
          <w:rFonts w:ascii="Arial" w:eastAsia="Calibri" w:hAnsi="Arial" w:cs="Arial"/>
        </w:rPr>
      </w:pPr>
      <w:r w:rsidRPr="00BA5CB7">
        <w:rPr>
          <w:rFonts w:ascii="Arial" w:eastAsia="Calibri" w:hAnsi="Arial" w:cs="Arial"/>
        </w:rPr>
        <w:t>Re:</w:t>
      </w:r>
      <w:r w:rsidRPr="00BA5CB7">
        <w:rPr>
          <w:rFonts w:ascii="Arial" w:eastAsia="Calibri" w:hAnsi="Arial" w:cs="Arial"/>
        </w:rPr>
        <w:tab/>
      </w:r>
      <w:r w:rsidR="00A144B7">
        <w:rPr>
          <w:rFonts w:ascii="Arial" w:eastAsia="Calibri" w:hAnsi="Arial" w:cs="Arial"/>
        </w:rPr>
        <w:t>APPCE-20-00</w:t>
      </w:r>
      <w:r w:rsidR="00EF3242">
        <w:rPr>
          <w:rFonts w:ascii="Arial" w:eastAsia="Calibri" w:hAnsi="Arial" w:cs="Arial"/>
        </w:rPr>
        <w:t>3</w:t>
      </w:r>
    </w:p>
    <w:p w14:paraId="51703FF4" w14:textId="76A69626" w:rsidR="00D922A7" w:rsidRPr="00A13779" w:rsidRDefault="00D922A7" w:rsidP="00B3130E">
      <w:pPr>
        <w:widowControl w:val="0"/>
        <w:tabs>
          <w:tab w:val="left" w:pos="1587"/>
        </w:tabs>
        <w:spacing w:line="276" w:lineRule="auto"/>
        <w:ind w:right="210"/>
        <w:rPr>
          <w:rFonts w:ascii="Arial" w:eastAsia="Calibri" w:hAnsi="Arial" w:cs="Arial"/>
        </w:rPr>
      </w:pPr>
      <w:r>
        <w:rPr>
          <w:rFonts w:ascii="Arial" w:eastAsia="Calibri" w:hAnsi="Arial" w:cs="Arial"/>
        </w:rPr>
        <w:tab/>
        <w:t>Parcel No. 6207200017</w:t>
      </w:r>
    </w:p>
    <w:p w14:paraId="3BC3BB7F" w14:textId="77777777" w:rsidR="00561C9E" w:rsidRPr="00BA5CB7" w:rsidRDefault="00561C9E" w:rsidP="00561C9E">
      <w:pPr>
        <w:widowControl w:val="0"/>
        <w:spacing w:line="276" w:lineRule="auto"/>
        <w:rPr>
          <w:rFonts w:ascii="Arial" w:eastAsia="Arial" w:hAnsi="Arial" w:cs="Arial"/>
        </w:rPr>
      </w:pPr>
    </w:p>
    <w:p w14:paraId="5EFCCCC7" w14:textId="77777777" w:rsidR="00561C9E" w:rsidRDefault="00561C9E" w:rsidP="00B3130E">
      <w:pPr>
        <w:widowControl w:val="0"/>
        <w:tabs>
          <w:tab w:val="left" w:pos="1591"/>
        </w:tabs>
        <w:spacing w:line="276" w:lineRule="auto"/>
        <w:ind w:left="1590" w:right="1117" w:hanging="1590"/>
        <w:rPr>
          <w:rFonts w:ascii="Arial" w:eastAsia="Calibri" w:hAnsi="Arial" w:cs="Arial"/>
        </w:rPr>
      </w:pPr>
      <w:r w:rsidRPr="00BA5CB7">
        <w:rPr>
          <w:rFonts w:ascii="Arial" w:eastAsia="Calibri" w:hAnsi="Arial" w:cs="Arial"/>
        </w:rPr>
        <w:t>Subject:</w:t>
      </w:r>
      <w:r w:rsidRPr="00BA5CB7">
        <w:rPr>
          <w:rFonts w:ascii="Arial" w:eastAsia="Calibri" w:hAnsi="Arial" w:cs="Arial"/>
        </w:rPr>
        <w:tab/>
      </w:r>
      <w:r w:rsidR="00B3130E">
        <w:rPr>
          <w:rFonts w:ascii="Arial" w:eastAsia="Calibri" w:hAnsi="Arial" w:cs="Arial"/>
        </w:rPr>
        <w:tab/>
      </w:r>
      <w:r w:rsidR="00A144B7" w:rsidRPr="00C47FB8">
        <w:rPr>
          <w:rFonts w:ascii="Arial" w:eastAsia="Calibri" w:hAnsi="Arial" w:cs="Arial"/>
        </w:rPr>
        <w:t>Appeal of a decision made by the Executive Director of Planning and Community Development to issue an executive determination to authorize the Office of the County Attorney to proceed with litigation</w:t>
      </w:r>
    </w:p>
    <w:p w14:paraId="2348DFBD" w14:textId="77777777" w:rsidR="00A13779" w:rsidRDefault="00A13779" w:rsidP="00561C9E">
      <w:pPr>
        <w:widowControl w:val="0"/>
        <w:tabs>
          <w:tab w:val="left" w:pos="1591"/>
        </w:tabs>
        <w:spacing w:line="276" w:lineRule="auto"/>
        <w:ind w:left="1572" w:right="1117" w:hanging="1455"/>
        <w:rPr>
          <w:rFonts w:ascii="Arial" w:eastAsia="Calibri"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40"/>
        <w:gridCol w:w="4690"/>
      </w:tblGrid>
      <w:tr w:rsidR="00A13779" w14:paraId="7DE06422" w14:textId="77777777" w:rsidTr="00660C75">
        <w:tc>
          <w:tcPr>
            <w:tcW w:w="4788" w:type="dxa"/>
          </w:tcPr>
          <w:p w14:paraId="3DBC0949" w14:textId="77777777" w:rsidR="00A13779" w:rsidRDefault="00A13779" w:rsidP="00660C75">
            <w:pPr>
              <w:spacing w:line="276" w:lineRule="auto"/>
              <w:rPr>
                <w:rFonts w:ascii="Arial" w:eastAsiaTheme="minorHAnsi" w:hAnsi="Arial" w:cs="Arial"/>
                <w:b/>
              </w:rPr>
            </w:pPr>
            <w:r w:rsidRPr="00464016">
              <w:rPr>
                <w:rFonts w:ascii="Arial" w:eastAsiaTheme="minorHAnsi" w:hAnsi="Arial" w:cs="Arial"/>
                <w:b/>
              </w:rPr>
              <w:t>OWNER:</w:t>
            </w:r>
          </w:p>
        </w:tc>
        <w:tc>
          <w:tcPr>
            <w:tcW w:w="4788" w:type="dxa"/>
          </w:tcPr>
          <w:p w14:paraId="71BD1520" w14:textId="77777777" w:rsidR="00A13779" w:rsidRDefault="00A13779" w:rsidP="00660C75">
            <w:pPr>
              <w:spacing w:line="276" w:lineRule="auto"/>
              <w:rPr>
                <w:rFonts w:ascii="Arial" w:eastAsiaTheme="minorHAnsi" w:hAnsi="Arial" w:cs="Arial"/>
                <w:b/>
              </w:rPr>
            </w:pPr>
            <w:r w:rsidRPr="00464016">
              <w:rPr>
                <w:rFonts w:ascii="Arial" w:eastAsiaTheme="minorHAnsi" w:hAnsi="Arial" w:cs="Arial"/>
                <w:b/>
              </w:rPr>
              <w:t>REPRESENTATIVE:</w:t>
            </w:r>
          </w:p>
        </w:tc>
      </w:tr>
      <w:tr w:rsidR="00A13779" w14:paraId="31C26248" w14:textId="77777777" w:rsidTr="00660C75">
        <w:tc>
          <w:tcPr>
            <w:tcW w:w="4788" w:type="dxa"/>
          </w:tcPr>
          <w:sdt>
            <w:sdtPr>
              <w:rPr>
                <w:rFonts w:ascii="Arial" w:eastAsiaTheme="minorHAnsi" w:hAnsi="Arial" w:cs="Arial"/>
              </w:rPr>
              <w:id w:val="1794323212"/>
              <w:placeholder>
                <w:docPart w:val="10361375B5D647A2B4E769B6C2542204"/>
              </w:placeholder>
            </w:sdtPr>
            <w:sdtEndPr/>
            <w:sdtContent>
              <w:p w14:paraId="75E39083" w14:textId="77777777" w:rsidR="00EF3242" w:rsidRDefault="00EF3242" w:rsidP="00EF3242">
                <w:pPr>
                  <w:spacing w:line="276" w:lineRule="auto"/>
                  <w:rPr>
                    <w:rFonts w:ascii="Arial" w:eastAsiaTheme="minorHAnsi" w:hAnsi="Arial" w:cs="Arial"/>
                  </w:rPr>
                </w:pPr>
                <w:r>
                  <w:rPr>
                    <w:rFonts w:ascii="Arial" w:eastAsiaTheme="minorHAnsi" w:hAnsi="Arial" w:cs="Arial"/>
                  </w:rPr>
                  <w:t>Western Museum of Mining and Industry</w:t>
                </w:r>
              </w:p>
              <w:p w14:paraId="01245A83" w14:textId="77777777" w:rsidR="00EF3242" w:rsidRDefault="00EF3242" w:rsidP="00EF3242">
                <w:pPr>
                  <w:spacing w:line="276" w:lineRule="auto"/>
                  <w:rPr>
                    <w:rFonts w:ascii="Arial" w:eastAsiaTheme="minorHAnsi" w:hAnsi="Arial" w:cs="Arial"/>
                  </w:rPr>
                </w:pPr>
                <w:r>
                  <w:rPr>
                    <w:rFonts w:ascii="Arial" w:eastAsiaTheme="minorHAnsi" w:hAnsi="Arial" w:cs="Arial"/>
                  </w:rPr>
                  <w:t>125 North Gate Boulevard</w:t>
                </w:r>
              </w:p>
              <w:p w14:paraId="3305EDFB" w14:textId="7EEEE1B2" w:rsidR="00A13779" w:rsidRPr="00801195" w:rsidRDefault="00EF3242" w:rsidP="00EF3242">
                <w:pPr>
                  <w:spacing w:line="276" w:lineRule="auto"/>
                  <w:rPr>
                    <w:rFonts w:ascii="Arial" w:eastAsiaTheme="minorHAnsi" w:hAnsi="Arial" w:cs="Arial"/>
                  </w:rPr>
                </w:pPr>
                <w:r>
                  <w:rPr>
                    <w:rFonts w:ascii="Arial" w:eastAsiaTheme="minorHAnsi" w:hAnsi="Arial" w:cs="Arial"/>
                  </w:rPr>
                  <w:t>Colorado Springs, CO 80921</w:t>
                </w:r>
              </w:p>
            </w:sdtContent>
          </w:sdt>
        </w:tc>
        <w:tc>
          <w:tcPr>
            <w:tcW w:w="4788" w:type="dxa"/>
          </w:tcPr>
          <w:sdt>
            <w:sdtPr>
              <w:rPr>
                <w:rFonts w:ascii="Arial" w:eastAsiaTheme="minorHAnsi" w:hAnsi="Arial" w:cs="Arial"/>
              </w:rPr>
              <w:id w:val="-1402664989"/>
              <w:placeholder>
                <w:docPart w:val="75FF9EC771FB451693F35BD2CFE7EB5C"/>
              </w:placeholder>
            </w:sdtPr>
            <w:sdtEndPr/>
            <w:sdtContent>
              <w:sdt>
                <w:sdtPr>
                  <w:rPr>
                    <w:rFonts w:ascii="Arial" w:eastAsiaTheme="minorHAnsi" w:hAnsi="Arial" w:cs="Arial"/>
                  </w:rPr>
                  <w:id w:val="-1228991974"/>
                  <w:placeholder>
                    <w:docPart w:val="3DA0A345777143028D57B72954B74983"/>
                  </w:placeholder>
                </w:sdtPr>
                <w:sdtEndPr/>
                <w:sdtContent>
                  <w:p w14:paraId="05879712" w14:textId="57E50D1A" w:rsidR="00A13779" w:rsidRDefault="00EF3242" w:rsidP="00A13779">
                    <w:pPr>
                      <w:spacing w:line="276" w:lineRule="auto"/>
                      <w:rPr>
                        <w:rFonts w:ascii="Arial" w:eastAsiaTheme="minorHAnsi" w:hAnsi="Arial" w:cs="Arial"/>
                      </w:rPr>
                    </w:pPr>
                    <w:r>
                      <w:rPr>
                        <w:rFonts w:ascii="Arial" w:eastAsiaTheme="minorHAnsi" w:hAnsi="Arial" w:cs="Arial"/>
                      </w:rPr>
                      <w:t>Grant Dewey</w:t>
                    </w:r>
                  </w:p>
                  <w:p w14:paraId="45241BE7" w14:textId="77777777" w:rsidR="00EF3242" w:rsidRDefault="00EF3242" w:rsidP="00EF3242">
                    <w:pPr>
                      <w:spacing w:line="276" w:lineRule="auto"/>
                      <w:rPr>
                        <w:rFonts w:ascii="Arial" w:eastAsiaTheme="minorHAnsi" w:hAnsi="Arial" w:cs="Arial"/>
                      </w:rPr>
                    </w:pPr>
                    <w:r>
                      <w:rPr>
                        <w:rFonts w:ascii="Arial" w:eastAsiaTheme="minorHAnsi" w:hAnsi="Arial" w:cs="Arial"/>
                      </w:rPr>
                      <w:t>125 North Gate Boulevard</w:t>
                    </w:r>
                  </w:p>
                  <w:p w14:paraId="52EDF14E" w14:textId="154F56F2" w:rsidR="00A13779" w:rsidRPr="00A13779" w:rsidRDefault="00EF3242" w:rsidP="00EF3242">
                    <w:pPr>
                      <w:spacing w:line="276" w:lineRule="auto"/>
                      <w:rPr>
                        <w:rFonts w:ascii="Arial" w:eastAsiaTheme="minorHAnsi" w:hAnsi="Arial" w:cs="Arial"/>
                      </w:rPr>
                    </w:pPr>
                    <w:r>
                      <w:rPr>
                        <w:rFonts w:ascii="Arial" w:eastAsiaTheme="minorHAnsi" w:hAnsi="Arial" w:cs="Arial"/>
                      </w:rPr>
                      <w:t>Colorado Springs, CO 80921</w:t>
                    </w:r>
                  </w:p>
                </w:sdtContent>
              </w:sdt>
              <w:p w14:paraId="0D4F2EC8" w14:textId="77777777" w:rsidR="00A13779" w:rsidRPr="00801195" w:rsidRDefault="00FA36B6" w:rsidP="00660C75">
                <w:pPr>
                  <w:spacing w:line="276" w:lineRule="auto"/>
                  <w:rPr>
                    <w:rFonts w:ascii="Arial" w:eastAsiaTheme="minorHAnsi" w:hAnsi="Arial" w:cs="Arial"/>
                  </w:rPr>
                </w:pPr>
              </w:p>
            </w:sdtContent>
          </w:sdt>
        </w:tc>
      </w:tr>
    </w:tbl>
    <w:p w14:paraId="094143C5" w14:textId="77777777" w:rsidR="00561C9E" w:rsidRPr="00131D5B" w:rsidRDefault="00561C9E" w:rsidP="00A13779">
      <w:pPr>
        <w:widowControl w:val="0"/>
        <w:tabs>
          <w:tab w:val="left" w:pos="1591"/>
        </w:tabs>
        <w:spacing w:line="276" w:lineRule="auto"/>
        <w:ind w:right="1117"/>
        <w:rPr>
          <w:rFonts w:ascii="Arial" w:eastAsia="Arial" w:hAnsi="Arial" w:cs="Arial"/>
        </w:rPr>
      </w:pPr>
    </w:p>
    <w:p w14:paraId="27D1875A" w14:textId="77777777" w:rsidR="00B3130E" w:rsidRPr="00B3130E" w:rsidRDefault="00B3130E" w:rsidP="00B3130E">
      <w:pPr>
        <w:widowControl w:val="0"/>
        <w:spacing w:before="3" w:line="276" w:lineRule="auto"/>
        <w:ind w:right="6387"/>
        <w:jc w:val="both"/>
        <w:rPr>
          <w:rFonts w:ascii="Arial" w:eastAsia="Calibri" w:hAnsi="Arial" w:cs="Arial"/>
          <w:b/>
          <w:w w:val="105"/>
        </w:rPr>
      </w:pPr>
      <w:r w:rsidRPr="00B3130E">
        <w:rPr>
          <w:rFonts w:ascii="Arial" w:eastAsia="Calibri" w:hAnsi="Arial" w:cs="Arial"/>
          <w:b/>
          <w:w w:val="105"/>
        </w:rPr>
        <w:t>Issue:</w:t>
      </w:r>
    </w:p>
    <w:p w14:paraId="255721F9" w14:textId="4B98E3F8" w:rsidR="00056D3A" w:rsidRPr="00056D3A" w:rsidRDefault="00056D3A" w:rsidP="0071570D">
      <w:pPr>
        <w:spacing w:line="276" w:lineRule="auto"/>
        <w:ind w:right="187"/>
        <w:jc w:val="both"/>
        <w:rPr>
          <w:rFonts w:ascii="Arial" w:hAnsi="Arial" w:cs="Arial"/>
        </w:rPr>
      </w:pPr>
      <w:r w:rsidRPr="00056D3A">
        <w:rPr>
          <w:rFonts w:ascii="Arial" w:hAnsi="Arial" w:cs="Arial"/>
        </w:rPr>
        <w:t>An appeal by Grant Dewey, on behalf of the Western Museum of Mining and Industry</w:t>
      </w:r>
      <w:r w:rsidR="00C53D3D">
        <w:rPr>
          <w:rFonts w:ascii="Arial" w:hAnsi="Arial" w:cs="Arial"/>
        </w:rPr>
        <w:t xml:space="preserve"> (WMMI)</w:t>
      </w:r>
      <w:r w:rsidRPr="00056D3A">
        <w:rPr>
          <w:rFonts w:ascii="Arial" w:hAnsi="Arial" w:cs="Arial"/>
        </w:rPr>
        <w:t xml:space="preserve">, of a decision made by the Executive Director of the Planning and Community Development Department (PCD) to issue an executive determination authorizing the Office of the County Attorney (OCA) to proceed with litigation pursuant to Section 11.3.2 (A) of the </w:t>
      </w:r>
      <w:r w:rsidRPr="0071570D">
        <w:rPr>
          <w:rFonts w:ascii="Arial" w:hAnsi="Arial" w:cs="Arial"/>
          <w:u w:val="single"/>
        </w:rPr>
        <w:t>El Paso County Land Development Code</w:t>
      </w:r>
      <w:r w:rsidRPr="00056D3A">
        <w:rPr>
          <w:rFonts w:ascii="Arial" w:hAnsi="Arial" w:cs="Arial"/>
        </w:rPr>
        <w:t xml:space="preserve"> (2020). The 28.39</w:t>
      </w:r>
      <w:r w:rsidR="0071570D">
        <w:rPr>
          <w:rFonts w:ascii="Arial" w:hAnsi="Arial" w:cs="Arial"/>
        </w:rPr>
        <w:t>-</w:t>
      </w:r>
      <w:r w:rsidRPr="00056D3A">
        <w:rPr>
          <w:rFonts w:ascii="Arial" w:hAnsi="Arial" w:cs="Arial"/>
        </w:rPr>
        <w:t xml:space="preserve">acre property is zoned RR-5 (Residential Rural) and is </w:t>
      </w:r>
      <w:r w:rsidRPr="00056D3A">
        <w:rPr>
          <w:rFonts w:ascii="Arial" w:eastAsia="Calibri" w:hAnsi="Arial" w:cs="Arial"/>
        </w:rPr>
        <w:t xml:space="preserve">located southeast </w:t>
      </w:r>
      <w:r w:rsidR="00FC6C03">
        <w:rPr>
          <w:rFonts w:ascii="Arial" w:eastAsia="Calibri" w:hAnsi="Arial" w:cs="Arial"/>
        </w:rPr>
        <w:t>of the</w:t>
      </w:r>
      <w:r w:rsidRPr="00056D3A">
        <w:rPr>
          <w:rFonts w:ascii="Arial" w:eastAsia="Calibri" w:hAnsi="Arial" w:cs="Arial"/>
        </w:rPr>
        <w:t xml:space="preserve"> Interstate 25 and the North Gate Boulevard </w:t>
      </w:r>
      <w:r w:rsidR="0071570D">
        <w:rPr>
          <w:rFonts w:ascii="Arial" w:eastAsia="Calibri" w:hAnsi="Arial" w:cs="Arial"/>
        </w:rPr>
        <w:t>interchange</w:t>
      </w:r>
      <w:r w:rsidRPr="00056D3A">
        <w:rPr>
          <w:rFonts w:ascii="Arial" w:eastAsia="Calibri" w:hAnsi="Arial" w:cs="Arial"/>
        </w:rPr>
        <w:t xml:space="preserve">. </w:t>
      </w:r>
    </w:p>
    <w:p w14:paraId="0803C933" w14:textId="77777777" w:rsidR="00B3130E" w:rsidRPr="00C47FB8" w:rsidRDefault="00B3130E" w:rsidP="00B3130E">
      <w:pPr>
        <w:widowControl w:val="0"/>
        <w:spacing w:line="276" w:lineRule="auto"/>
        <w:ind w:right="916"/>
        <w:jc w:val="both"/>
        <w:rPr>
          <w:rFonts w:ascii="Arial" w:hAnsi="Arial" w:cs="Arial"/>
        </w:rPr>
      </w:pPr>
    </w:p>
    <w:p w14:paraId="144A4C4C" w14:textId="77777777" w:rsidR="00B3130E" w:rsidRPr="00C47FB8" w:rsidRDefault="00B3130E" w:rsidP="00B3130E">
      <w:pPr>
        <w:widowControl w:val="0"/>
        <w:spacing w:line="276" w:lineRule="auto"/>
        <w:ind w:right="916"/>
        <w:jc w:val="both"/>
        <w:rPr>
          <w:rFonts w:ascii="Arial" w:hAnsi="Arial" w:cs="Arial"/>
          <w:b/>
        </w:rPr>
      </w:pPr>
      <w:r w:rsidRPr="00C47FB8">
        <w:rPr>
          <w:rFonts w:ascii="Arial" w:hAnsi="Arial" w:cs="Arial"/>
          <w:b/>
        </w:rPr>
        <w:t>Procedure:</w:t>
      </w:r>
    </w:p>
    <w:p w14:paraId="015DBDE1" w14:textId="6103FF05" w:rsidR="00B3130E" w:rsidRPr="00C47FB8" w:rsidRDefault="00B3130E" w:rsidP="0071570D">
      <w:pPr>
        <w:spacing w:line="276" w:lineRule="auto"/>
        <w:ind w:right="187"/>
        <w:jc w:val="both"/>
        <w:rPr>
          <w:rFonts w:ascii="Arial" w:hAnsi="Arial" w:cs="Arial"/>
        </w:rPr>
      </w:pPr>
      <w:r w:rsidRPr="00C47FB8">
        <w:rPr>
          <w:rFonts w:ascii="Arial" w:hAnsi="Arial" w:cs="Arial"/>
        </w:rPr>
        <w:t>Staff shall first present the item and provide testimony and evidence.</w:t>
      </w:r>
      <w:r w:rsidR="00624563">
        <w:rPr>
          <w:rFonts w:ascii="Arial" w:hAnsi="Arial" w:cs="Arial"/>
        </w:rPr>
        <w:t xml:space="preserve"> </w:t>
      </w:r>
      <w:r w:rsidRPr="00C47FB8">
        <w:rPr>
          <w:rFonts w:ascii="Arial" w:hAnsi="Arial" w:cs="Arial"/>
        </w:rPr>
        <w:t>The appellant</w:t>
      </w:r>
      <w:r w:rsidR="00624563">
        <w:rPr>
          <w:rFonts w:ascii="Arial" w:hAnsi="Arial" w:cs="Arial"/>
        </w:rPr>
        <w:t>(s)</w:t>
      </w:r>
      <w:r w:rsidRPr="00C47FB8">
        <w:rPr>
          <w:rFonts w:ascii="Arial" w:hAnsi="Arial" w:cs="Arial"/>
        </w:rPr>
        <w:t xml:space="preserve"> shall then be given an opportunity to address the Board </w:t>
      </w:r>
      <w:r w:rsidR="00FC6C03">
        <w:rPr>
          <w:rFonts w:ascii="Arial" w:hAnsi="Arial" w:cs="Arial"/>
        </w:rPr>
        <w:t xml:space="preserve">of County Commissioners </w:t>
      </w:r>
      <w:r w:rsidR="00FC6C03">
        <w:rPr>
          <w:rFonts w:ascii="Arial" w:hAnsi="Arial" w:cs="Arial"/>
        </w:rPr>
        <w:lastRenderedPageBreak/>
        <w:t xml:space="preserve">(Board) </w:t>
      </w:r>
      <w:r w:rsidRPr="00C47FB8">
        <w:rPr>
          <w:rFonts w:ascii="Arial" w:hAnsi="Arial" w:cs="Arial"/>
        </w:rPr>
        <w:t>and present any testimony and/or evidence.  The Board may then ask any final questions of staff or the appellant</w:t>
      </w:r>
      <w:r w:rsidR="00624563">
        <w:rPr>
          <w:rFonts w:ascii="Arial" w:hAnsi="Arial" w:cs="Arial"/>
        </w:rPr>
        <w:t>(s)</w:t>
      </w:r>
      <w:r w:rsidRPr="00C47FB8">
        <w:rPr>
          <w:rFonts w:ascii="Arial" w:hAnsi="Arial" w:cs="Arial"/>
        </w:rPr>
        <w:t xml:space="preserve"> prior to rendering a decision.</w:t>
      </w:r>
    </w:p>
    <w:p w14:paraId="28A2F768" w14:textId="77777777" w:rsidR="00B3130E" w:rsidRPr="00C47FB8" w:rsidRDefault="00B3130E" w:rsidP="0071570D">
      <w:pPr>
        <w:spacing w:line="276" w:lineRule="auto"/>
        <w:ind w:right="187"/>
        <w:jc w:val="both"/>
        <w:rPr>
          <w:rFonts w:ascii="Arial" w:hAnsi="Arial" w:cs="Arial"/>
        </w:rPr>
      </w:pPr>
      <w:r w:rsidRPr="00C47FB8">
        <w:rPr>
          <w:rFonts w:ascii="Arial" w:hAnsi="Arial" w:cs="Arial"/>
        </w:rPr>
        <w:t>The Board, in considering the testimony and evidence presented by both staff and the appellants shall either:</w:t>
      </w:r>
    </w:p>
    <w:p w14:paraId="0EFA13BA" w14:textId="77777777" w:rsidR="00B3130E" w:rsidRPr="00C47FB8" w:rsidRDefault="00B3130E" w:rsidP="00B3130E">
      <w:pPr>
        <w:pStyle w:val="ListParagraph"/>
        <w:numPr>
          <w:ilvl w:val="0"/>
          <w:numId w:val="8"/>
        </w:numPr>
        <w:rPr>
          <w:rFonts w:ascii="Arial" w:eastAsia="Calibri" w:hAnsi="Arial" w:cs="Arial"/>
          <w:sz w:val="24"/>
          <w:szCs w:val="24"/>
        </w:rPr>
      </w:pPr>
      <w:r w:rsidRPr="00C47FB8">
        <w:rPr>
          <w:rFonts w:ascii="Arial" w:eastAsia="Calibri" w:hAnsi="Arial" w:cs="Arial"/>
          <w:sz w:val="24"/>
          <w:szCs w:val="24"/>
          <w:u w:val="single"/>
        </w:rPr>
        <w:t>Move to deny the appeal,</w:t>
      </w:r>
      <w:r w:rsidRPr="00C47FB8">
        <w:rPr>
          <w:rFonts w:ascii="Arial" w:eastAsia="Calibri" w:hAnsi="Arial" w:cs="Arial"/>
          <w:sz w:val="24"/>
          <w:szCs w:val="24"/>
        </w:rPr>
        <w:t xml:space="preserve"> thus affirming the decision of the </w:t>
      </w:r>
      <w:r w:rsidR="00624563">
        <w:rPr>
          <w:rFonts w:ascii="Arial" w:eastAsia="Calibri" w:hAnsi="Arial" w:cs="Arial"/>
          <w:sz w:val="24"/>
          <w:szCs w:val="24"/>
        </w:rPr>
        <w:t>PCD</w:t>
      </w:r>
      <w:r w:rsidRPr="00C47FB8">
        <w:rPr>
          <w:rFonts w:ascii="Arial" w:eastAsia="Calibri" w:hAnsi="Arial" w:cs="Arial"/>
          <w:sz w:val="24"/>
          <w:szCs w:val="24"/>
        </w:rPr>
        <w:t xml:space="preserve"> Executive Director; or</w:t>
      </w:r>
    </w:p>
    <w:p w14:paraId="2AD390F0" w14:textId="77777777" w:rsidR="00B3130E" w:rsidRDefault="00B3130E" w:rsidP="00624563">
      <w:pPr>
        <w:pStyle w:val="ListParagraph"/>
        <w:numPr>
          <w:ilvl w:val="0"/>
          <w:numId w:val="8"/>
        </w:numPr>
        <w:rPr>
          <w:rFonts w:ascii="Arial" w:eastAsia="Calibri" w:hAnsi="Arial" w:cs="Arial"/>
          <w:sz w:val="24"/>
          <w:szCs w:val="24"/>
        </w:rPr>
      </w:pPr>
      <w:r w:rsidRPr="00C47FB8">
        <w:rPr>
          <w:rFonts w:ascii="Arial" w:eastAsia="Calibri" w:hAnsi="Arial" w:cs="Arial"/>
          <w:sz w:val="24"/>
          <w:szCs w:val="24"/>
          <w:u w:val="single"/>
        </w:rPr>
        <w:t>Move to approve the appeal</w:t>
      </w:r>
      <w:r w:rsidRPr="00C47FB8">
        <w:rPr>
          <w:rFonts w:ascii="Arial" w:eastAsia="Calibri" w:hAnsi="Arial" w:cs="Arial"/>
          <w:sz w:val="24"/>
          <w:szCs w:val="24"/>
        </w:rPr>
        <w:t xml:space="preserve">, thus overturning the decision of the </w:t>
      </w:r>
      <w:r w:rsidR="00624563">
        <w:rPr>
          <w:rFonts w:ascii="Arial" w:eastAsia="Calibri" w:hAnsi="Arial" w:cs="Arial"/>
          <w:sz w:val="24"/>
          <w:szCs w:val="24"/>
        </w:rPr>
        <w:t>PCD</w:t>
      </w:r>
      <w:r w:rsidRPr="00C47FB8">
        <w:rPr>
          <w:rFonts w:ascii="Arial" w:eastAsia="Calibri" w:hAnsi="Arial" w:cs="Arial"/>
          <w:sz w:val="24"/>
          <w:szCs w:val="24"/>
        </w:rPr>
        <w:t xml:space="preserve"> Executive Director.</w:t>
      </w:r>
    </w:p>
    <w:p w14:paraId="116C1886" w14:textId="77777777" w:rsidR="00624563" w:rsidRPr="00624563" w:rsidRDefault="00624563" w:rsidP="00624563">
      <w:pPr>
        <w:pStyle w:val="ListParagraph"/>
        <w:ind w:left="1080"/>
        <w:rPr>
          <w:rFonts w:ascii="Arial" w:eastAsia="Calibri" w:hAnsi="Arial" w:cs="Arial"/>
          <w:sz w:val="24"/>
          <w:szCs w:val="24"/>
        </w:rPr>
      </w:pPr>
    </w:p>
    <w:p w14:paraId="7AF599E4" w14:textId="77777777" w:rsidR="00561C9E" w:rsidRDefault="00561C9E" w:rsidP="00A13779">
      <w:pPr>
        <w:widowControl w:val="0"/>
        <w:spacing w:before="3" w:line="276" w:lineRule="auto"/>
        <w:ind w:right="6387"/>
        <w:rPr>
          <w:rFonts w:ascii="Arial" w:eastAsia="Calibri" w:hAnsi="Arial" w:cs="Arial"/>
          <w:b/>
          <w:w w:val="105"/>
        </w:rPr>
      </w:pPr>
      <w:r w:rsidRPr="00131D5B">
        <w:rPr>
          <w:rFonts w:ascii="Arial" w:eastAsia="Calibri" w:hAnsi="Arial" w:cs="Arial"/>
          <w:b/>
          <w:w w:val="105"/>
        </w:rPr>
        <w:t>Executive Summary</w:t>
      </w:r>
      <w:r w:rsidR="00624563">
        <w:rPr>
          <w:rFonts w:ascii="Arial" w:eastAsia="Calibri" w:hAnsi="Arial" w:cs="Arial"/>
          <w:b/>
          <w:w w:val="105"/>
        </w:rPr>
        <w:t xml:space="preserve">: </w:t>
      </w:r>
    </w:p>
    <w:p w14:paraId="3B1DB3C8" w14:textId="77777777" w:rsidR="00624563" w:rsidRPr="0071570D" w:rsidRDefault="00624563" w:rsidP="0071570D">
      <w:pPr>
        <w:spacing w:line="276" w:lineRule="auto"/>
        <w:ind w:right="187"/>
        <w:jc w:val="both"/>
        <w:rPr>
          <w:rFonts w:ascii="Arial" w:hAnsi="Arial" w:cs="Arial"/>
        </w:rPr>
      </w:pPr>
      <w:r w:rsidRPr="0071570D">
        <w:rPr>
          <w:rFonts w:ascii="Arial" w:hAnsi="Arial" w:cs="Arial"/>
        </w:rPr>
        <w:t xml:space="preserve">On December 12, 2017, the Board approved amendments to Chapter 11 of the </w:t>
      </w:r>
      <w:r w:rsidRPr="0071570D">
        <w:rPr>
          <w:rFonts w:ascii="Arial" w:hAnsi="Arial" w:cs="Arial"/>
          <w:u w:val="single"/>
        </w:rPr>
        <w:t>Land Development Code</w:t>
      </w:r>
      <w:r w:rsidRPr="0071570D">
        <w:rPr>
          <w:rFonts w:ascii="Arial" w:hAnsi="Arial" w:cs="Arial"/>
        </w:rPr>
        <w:t xml:space="preserve"> removing the requirement for a show cause hearing before the Board prior to authorizing the OCA to pursue legal action. The amendments instead allow for the PCD Executive Director to issue an executive determination to authorize the OCA to pursue legal action. The amendments provide procedures for appeals of the executive determination to be heard before the Board. </w:t>
      </w:r>
    </w:p>
    <w:p w14:paraId="7D86C9C2" w14:textId="77777777" w:rsidR="00624563" w:rsidRPr="0071570D" w:rsidRDefault="00624563" w:rsidP="0071570D">
      <w:pPr>
        <w:spacing w:line="276" w:lineRule="auto"/>
        <w:ind w:right="187"/>
        <w:jc w:val="both"/>
        <w:rPr>
          <w:rFonts w:ascii="Arial" w:hAnsi="Arial" w:cs="Arial"/>
        </w:rPr>
      </w:pPr>
    </w:p>
    <w:p w14:paraId="36F709F8" w14:textId="77777777" w:rsidR="00624563" w:rsidRPr="0071570D" w:rsidRDefault="00624563" w:rsidP="0071570D">
      <w:pPr>
        <w:spacing w:line="276" w:lineRule="auto"/>
        <w:ind w:right="187"/>
        <w:jc w:val="both"/>
        <w:rPr>
          <w:rFonts w:ascii="Arial" w:hAnsi="Arial" w:cs="Arial"/>
        </w:rPr>
      </w:pPr>
      <w:r w:rsidRPr="0071570D">
        <w:rPr>
          <w:rFonts w:ascii="Arial" w:hAnsi="Arial" w:cs="Arial"/>
        </w:rPr>
        <w:t xml:space="preserve">Section 11.3.2 </w:t>
      </w:r>
      <w:r w:rsidR="00EF4EB4" w:rsidRPr="0071570D">
        <w:rPr>
          <w:rFonts w:ascii="Arial" w:hAnsi="Arial" w:cs="Arial"/>
        </w:rPr>
        <w:t xml:space="preserve">(A) </w:t>
      </w:r>
      <w:r w:rsidRPr="0071570D">
        <w:rPr>
          <w:rFonts w:ascii="Arial" w:hAnsi="Arial" w:cs="Arial"/>
        </w:rPr>
        <w:t xml:space="preserve">of the </w:t>
      </w:r>
      <w:r w:rsidRPr="0071570D">
        <w:rPr>
          <w:rFonts w:ascii="Arial" w:hAnsi="Arial" w:cs="Arial"/>
          <w:u w:val="single"/>
        </w:rPr>
        <w:t>Land Development Code</w:t>
      </w:r>
      <w:r w:rsidRPr="0071570D">
        <w:rPr>
          <w:rFonts w:ascii="Arial" w:hAnsi="Arial" w:cs="Arial"/>
        </w:rPr>
        <w:t xml:space="preserve"> states:</w:t>
      </w:r>
    </w:p>
    <w:p w14:paraId="3E46378D" w14:textId="77777777" w:rsidR="00624563" w:rsidRPr="00C47FB8" w:rsidRDefault="00624563" w:rsidP="00624563">
      <w:pPr>
        <w:widowControl w:val="0"/>
        <w:spacing w:line="276" w:lineRule="auto"/>
        <w:ind w:left="720" w:right="916"/>
        <w:jc w:val="both"/>
        <w:rPr>
          <w:rFonts w:ascii="Arial" w:eastAsia="Calibri" w:hAnsi="Arial" w:cs="Arial"/>
        </w:rPr>
      </w:pPr>
    </w:p>
    <w:p w14:paraId="26CDE880" w14:textId="3EACB3C3" w:rsidR="00624563" w:rsidRPr="004501E0" w:rsidRDefault="004501E0" w:rsidP="00624563">
      <w:pPr>
        <w:widowControl w:val="0"/>
        <w:spacing w:line="276" w:lineRule="auto"/>
        <w:ind w:left="720" w:right="916"/>
        <w:jc w:val="both"/>
        <w:rPr>
          <w:rFonts w:ascii="Arial" w:eastAsia="Calibri" w:hAnsi="Arial" w:cs="Arial"/>
          <w:i/>
          <w:iCs/>
        </w:rPr>
      </w:pPr>
      <w:r w:rsidRPr="004501E0">
        <w:rPr>
          <w:rFonts w:ascii="Arial" w:eastAsia="Calibri" w:hAnsi="Arial" w:cs="Arial"/>
          <w:i/>
          <w:iCs/>
        </w:rPr>
        <w:t>“</w:t>
      </w:r>
      <w:r w:rsidR="00624563" w:rsidRPr="004501E0">
        <w:rPr>
          <w:rFonts w:ascii="Arial" w:eastAsia="Calibri" w:hAnsi="Arial" w:cs="Arial"/>
          <w:i/>
          <w:iCs/>
        </w:rPr>
        <w:t xml:space="preserve">The PCD Director shall mail the executive determination to the alleged violator in the same manner as the notice of violation.  The executive determination shall specify the nature of the violation, and provide ten (10) days after the date of the executive determination for the alleged violator to request an appeal, at no cost to the alleged violator, to the BoCC prior to the OCA pursuing remedies under Parts (D)(2) or (3). </w:t>
      </w:r>
    </w:p>
    <w:p w14:paraId="445D4CE4" w14:textId="77777777" w:rsidR="00624563" w:rsidRPr="004501E0" w:rsidRDefault="00624563" w:rsidP="00624563">
      <w:pPr>
        <w:widowControl w:val="0"/>
        <w:spacing w:line="276" w:lineRule="auto"/>
        <w:ind w:left="720" w:right="916"/>
        <w:jc w:val="both"/>
        <w:rPr>
          <w:rFonts w:ascii="Arial" w:eastAsia="Calibri" w:hAnsi="Arial" w:cs="Arial"/>
          <w:i/>
          <w:iCs/>
        </w:rPr>
      </w:pPr>
    </w:p>
    <w:p w14:paraId="4A5BB13A" w14:textId="29F19537" w:rsidR="00624563" w:rsidRPr="004501E0" w:rsidRDefault="00624563" w:rsidP="00624563">
      <w:pPr>
        <w:widowControl w:val="0"/>
        <w:spacing w:line="276" w:lineRule="auto"/>
        <w:ind w:left="720" w:right="916"/>
        <w:jc w:val="both"/>
        <w:rPr>
          <w:rFonts w:ascii="Arial" w:eastAsia="Calibri" w:hAnsi="Arial" w:cs="Arial"/>
          <w:i/>
          <w:iCs/>
        </w:rPr>
      </w:pPr>
      <w:r w:rsidRPr="004501E0">
        <w:rPr>
          <w:rFonts w:ascii="Arial" w:eastAsia="Calibri" w:hAnsi="Arial" w:cs="Arial"/>
          <w:i/>
          <w:iCs/>
        </w:rPr>
        <w:t>The executive determination shall state that the alleged violator may appeal the PCD Director’s decision to the BoCC. The alleged violator must submit an appeal in writing to the PCD Director.  Any written appeal must be received by the PCD Director within ten (10) days after the date of the executive determination. Any such appeals received beyond ten (10) days shall be deemed untimely.</w:t>
      </w:r>
      <w:r w:rsidR="004501E0" w:rsidRPr="004501E0">
        <w:rPr>
          <w:rFonts w:ascii="Arial" w:eastAsia="Calibri" w:hAnsi="Arial" w:cs="Arial"/>
          <w:i/>
          <w:iCs/>
        </w:rPr>
        <w:t>”</w:t>
      </w:r>
    </w:p>
    <w:p w14:paraId="294F33C1" w14:textId="77777777" w:rsidR="0005610F" w:rsidRDefault="0005610F" w:rsidP="00671C02">
      <w:pPr>
        <w:widowControl w:val="0"/>
        <w:spacing w:before="3" w:line="276" w:lineRule="auto"/>
        <w:ind w:right="6387"/>
        <w:rPr>
          <w:rFonts w:ascii="Arial" w:eastAsia="Calibri" w:hAnsi="Arial" w:cs="Arial"/>
          <w:b/>
          <w:w w:val="105"/>
        </w:rPr>
      </w:pPr>
    </w:p>
    <w:p w14:paraId="69DA7CC2" w14:textId="3F2BB5ED" w:rsidR="00962E04" w:rsidRDefault="00561C9E" w:rsidP="00671C02">
      <w:pPr>
        <w:widowControl w:val="0"/>
        <w:spacing w:before="3" w:line="276" w:lineRule="auto"/>
        <w:ind w:right="6387"/>
        <w:rPr>
          <w:rFonts w:ascii="Arial" w:eastAsia="Calibri" w:hAnsi="Arial" w:cs="Arial"/>
          <w:b/>
          <w:w w:val="105"/>
        </w:rPr>
      </w:pPr>
      <w:r w:rsidRPr="00BA5CB7">
        <w:rPr>
          <w:rFonts w:ascii="Arial" w:eastAsia="Calibri" w:hAnsi="Arial" w:cs="Arial"/>
          <w:b/>
          <w:w w:val="105"/>
        </w:rPr>
        <w:t>Background</w:t>
      </w:r>
      <w:r w:rsidR="0005610F">
        <w:rPr>
          <w:rFonts w:ascii="Arial" w:eastAsia="Calibri" w:hAnsi="Arial" w:cs="Arial"/>
          <w:b/>
          <w:w w:val="105"/>
        </w:rPr>
        <w:t xml:space="preserve">: </w:t>
      </w:r>
    </w:p>
    <w:p w14:paraId="73AC74EB" w14:textId="06D914BB" w:rsidR="004B3A8C" w:rsidRPr="0071570D" w:rsidRDefault="0071570D" w:rsidP="0071570D">
      <w:pPr>
        <w:spacing w:line="276" w:lineRule="auto"/>
        <w:ind w:right="187"/>
        <w:jc w:val="both"/>
        <w:rPr>
          <w:rFonts w:ascii="Arial" w:hAnsi="Arial" w:cs="Arial"/>
        </w:rPr>
      </w:pPr>
      <w:r w:rsidRPr="0071570D">
        <w:rPr>
          <w:rFonts w:ascii="Arial" w:hAnsi="Arial" w:cs="Arial"/>
        </w:rPr>
        <w:t>In July 2014 and July 2015, PCD approved temporary use permits to allow for the WMMI to hold Tiny House Jamborees. Attendance for the events exceeded 15,000 people</w:t>
      </w:r>
      <w:r>
        <w:rPr>
          <w:rFonts w:ascii="Arial" w:hAnsi="Arial" w:cs="Arial"/>
        </w:rPr>
        <w:t>,</w:t>
      </w:r>
      <w:r w:rsidRPr="0071570D">
        <w:rPr>
          <w:rFonts w:ascii="Arial" w:hAnsi="Arial" w:cs="Arial"/>
        </w:rPr>
        <w:t xml:space="preserve"> resulted in significant traffic issues.  </w:t>
      </w:r>
      <w:r w:rsidR="004B3A8C" w:rsidRPr="0071570D">
        <w:rPr>
          <w:rFonts w:ascii="Arial" w:hAnsi="Arial" w:cs="Arial"/>
        </w:rPr>
        <w:t>A complaint was received on June 11, 2019 from the County Engineer about a Celtic Festival scheduled to take place at the WMMI</w:t>
      </w:r>
      <w:r>
        <w:rPr>
          <w:rFonts w:ascii="Arial" w:hAnsi="Arial" w:cs="Arial"/>
        </w:rPr>
        <w:t xml:space="preserve"> </w:t>
      </w:r>
      <w:r w:rsidR="00750C9D" w:rsidRPr="0071570D">
        <w:rPr>
          <w:rFonts w:ascii="Arial" w:hAnsi="Arial" w:cs="Arial"/>
        </w:rPr>
        <w:t xml:space="preserve">on </w:t>
      </w:r>
      <w:r w:rsidR="004B3A8C" w:rsidRPr="0071570D">
        <w:rPr>
          <w:rFonts w:ascii="Arial" w:hAnsi="Arial" w:cs="Arial"/>
        </w:rPr>
        <w:t>June 14</w:t>
      </w:r>
      <w:r>
        <w:rPr>
          <w:rFonts w:ascii="Arial" w:hAnsi="Arial" w:cs="Arial"/>
        </w:rPr>
        <w:t>-</w:t>
      </w:r>
      <w:r w:rsidR="004B3A8C" w:rsidRPr="0071570D">
        <w:rPr>
          <w:rFonts w:ascii="Arial" w:hAnsi="Arial" w:cs="Arial"/>
        </w:rPr>
        <w:t xml:space="preserve">16, 2019. The County Engineer had traffic related concerns about the event taking place. </w:t>
      </w:r>
      <w:r w:rsidR="00260B6D" w:rsidRPr="0071570D">
        <w:rPr>
          <w:rFonts w:ascii="Arial" w:hAnsi="Arial" w:cs="Arial"/>
        </w:rPr>
        <w:t xml:space="preserve">Approval to hold the Celtic Festival had not been issued by PCD and such use is not an allowed use in the RR-5 zoning district. </w:t>
      </w:r>
      <w:r w:rsidR="00A97DF7" w:rsidRPr="0071570D">
        <w:rPr>
          <w:rFonts w:ascii="Arial" w:hAnsi="Arial" w:cs="Arial"/>
        </w:rPr>
        <w:t xml:space="preserve">A courtesy email was sent to the </w:t>
      </w:r>
      <w:r w:rsidR="00A97DF7" w:rsidRPr="0071570D">
        <w:rPr>
          <w:rFonts w:ascii="Arial" w:hAnsi="Arial" w:cs="Arial"/>
        </w:rPr>
        <w:lastRenderedPageBreak/>
        <w:t xml:space="preserve">organizer of the Celtic Festival as well as to the main email address found online for the WMMI </w:t>
      </w:r>
      <w:r w:rsidR="006A50C3" w:rsidRPr="0071570D">
        <w:rPr>
          <w:rFonts w:ascii="Arial" w:hAnsi="Arial" w:cs="Arial"/>
        </w:rPr>
        <w:t xml:space="preserve">to inform them that zoning approval to hold the event had not been obtained and </w:t>
      </w:r>
      <w:r w:rsidR="0002513B">
        <w:rPr>
          <w:rFonts w:ascii="Arial" w:hAnsi="Arial" w:cs="Arial"/>
        </w:rPr>
        <w:t xml:space="preserve">that the use </w:t>
      </w:r>
      <w:r w:rsidR="006A50C3" w:rsidRPr="0071570D">
        <w:rPr>
          <w:rFonts w:ascii="Arial" w:hAnsi="Arial" w:cs="Arial"/>
        </w:rPr>
        <w:t>was not allowed in the RR-5 zoning district</w:t>
      </w:r>
      <w:r w:rsidR="00AD01C4" w:rsidRPr="0071570D">
        <w:rPr>
          <w:rFonts w:ascii="Arial" w:hAnsi="Arial" w:cs="Arial"/>
        </w:rPr>
        <w:t xml:space="preserve">. </w:t>
      </w:r>
    </w:p>
    <w:p w14:paraId="53BC497F" w14:textId="77777777" w:rsidR="004B3A8C" w:rsidRPr="00CF53B0" w:rsidRDefault="004B3A8C" w:rsidP="00561C9E">
      <w:pPr>
        <w:tabs>
          <w:tab w:val="left" w:pos="0"/>
        </w:tabs>
        <w:spacing w:line="276" w:lineRule="auto"/>
        <w:rPr>
          <w:rFonts w:ascii="Arial" w:eastAsia="Calibri" w:hAnsi="Arial" w:cs="Arial"/>
          <w:bCs/>
          <w:w w:val="105"/>
        </w:rPr>
      </w:pPr>
    </w:p>
    <w:p w14:paraId="1BCAC097" w14:textId="0A6C1524" w:rsidR="00CF53B0" w:rsidRPr="0071570D" w:rsidRDefault="00B15A85" w:rsidP="0071570D">
      <w:pPr>
        <w:spacing w:line="276" w:lineRule="auto"/>
        <w:ind w:right="187"/>
        <w:jc w:val="both"/>
        <w:rPr>
          <w:rFonts w:ascii="Arial" w:hAnsi="Arial" w:cs="Arial"/>
        </w:rPr>
      </w:pPr>
      <w:r w:rsidRPr="0071570D">
        <w:rPr>
          <w:rFonts w:ascii="Arial" w:hAnsi="Arial" w:cs="Arial"/>
        </w:rPr>
        <w:t>On August 7, 2019, Code Enforcement staff received information from the County Engineer that the WMMI ha</w:t>
      </w:r>
      <w:r w:rsidR="00260B6D" w:rsidRPr="0071570D">
        <w:rPr>
          <w:rFonts w:ascii="Arial" w:hAnsi="Arial" w:cs="Arial"/>
        </w:rPr>
        <w:t xml:space="preserve">d </w:t>
      </w:r>
      <w:r w:rsidRPr="0071570D">
        <w:rPr>
          <w:rFonts w:ascii="Arial" w:hAnsi="Arial" w:cs="Arial"/>
        </w:rPr>
        <w:t xml:space="preserve">continued to advertise and hold events </w:t>
      </w:r>
      <w:r w:rsidR="0002513B">
        <w:rPr>
          <w:rFonts w:ascii="Arial" w:hAnsi="Arial" w:cs="Arial"/>
        </w:rPr>
        <w:t xml:space="preserve">on the property that were </w:t>
      </w:r>
      <w:r w:rsidR="009958F9" w:rsidRPr="0071570D">
        <w:rPr>
          <w:rFonts w:ascii="Arial" w:hAnsi="Arial" w:cs="Arial"/>
        </w:rPr>
        <w:t xml:space="preserve">unrelated to the museum activities, </w:t>
      </w:r>
      <w:r w:rsidRPr="0071570D">
        <w:rPr>
          <w:rFonts w:ascii="Arial" w:hAnsi="Arial" w:cs="Arial"/>
        </w:rPr>
        <w:t>such as an Indie Festival, Oktober Fest, farmer’s market</w:t>
      </w:r>
      <w:r w:rsidR="0002513B">
        <w:rPr>
          <w:rFonts w:ascii="Arial" w:hAnsi="Arial" w:cs="Arial"/>
        </w:rPr>
        <w:t>s</w:t>
      </w:r>
      <w:r w:rsidRPr="0071570D">
        <w:rPr>
          <w:rFonts w:ascii="Arial" w:hAnsi="Arial" w:cs="Arial"/>
        </w:rPr>
        <w:t xml:space="preserve">, etc. On August 14, 2019, a notice of violation was issued for violations of Table 5-1 Principal Uses and Table 5-2 Accessory Uses of the </w:t>
      </w:r>
      <w:r w:rsidRPr="0002513B">
        <w:rPr>
          <w:rFonts w:ascii="Arial" w:hAnsi="Arial" w:cs="Arial"/>
          <w:u w:val="single"/>
        </w:rPr>
        <w:t xml:space="preserve">Land Development Code </w:t>
      </w:r>
      <w:r w:rsidRPr="0071570D">
        <w:rPr>
          <w:rFonts w:ascii="Arial" w:hAnsi="Arial" w:cs="Arial"/>
        </w:rPr>
        <w:t>(LDC); specifically, for operating outdoo</w:t>
      </w:r>
      <w:r w:rsidR="00CD4C2E" w:rsidRPr="0071570D">
        <w:rPr>
          <w:rFonts w:ascii="Arial" w:hAnsi="Arial" w:cs="Arial"/>
        </w:rPr>
        <w:t>r</w:t>
      </w:r>
      <w:r w:rsidRPr="0071570D">
        <w:rPr>
          <w:rFonts w:ascii="Arial" w:hAnsi="Arial" w:cs="Arial"/>
        </w:rPr>
        <w:t xml:space="preserve"> concerts, outdoor amusement centers, flea markets, and </w:t>
      </w:r>
      <w:r w:rsidR="00CD4C2E" w:rsidRPr="0071570D">
        <w:rPr>
          <w:rFonts w:ascii="Arial" w:hAnsi="Arial" w:cs="Arial"/>
        </w:rPr>
        <w:t>ag</w:t>
      </w:r>
      <w:r w:rsidR="000317CC" w:rsidRPr="0071570D">
        <w:rPr>
          <w:rFonts w:ascii="Arial" w:hAnsi="Arial" w:cs="Arial"/>
        </w:rPr>
        <w:t>ri</w:t>
      </w:r>
      <w:r w:rsidR="00CD4C2E" w:rsidRPr="0071570D">
        <w:rPr>
          <w:rFonts w:ascii="Arial" w:hAnsi="Arial" w:cs="Arial"/>
        </w:rPr>
        <w:t>tainment</w:t>
      </w:r>
      <w:r w:rsidRPr="0071570D">
        <w:rPr>
          <w:rFonts w:ascii="Arial" w:hAnsi="Arial" w:cs="Arial"/>
        </w:rPr>
        <w:t xml:space="preserve"> </w:t>
      </w:r>
      <w:r w:rsidR="00CD4C2E" w:rsidRPr="0071570D">
        <w:rPr>
          <w:rFonts w:ascii="Arial" w:hAnsi="Arial" w:cs="Arial"/>
        </w:rPr>
        <w:t xml:space="preserve">activities in the RR-5 zoning district. </w:t>
      </w:r>
      <w:r w:rsidR="00CF53B0" w:rsidRPr="0071570D">
        <w:rPr>
          <w:rFonts w:ascii="Arial" w:hAnsi="Arial" w:cs="Arial"/>
        </w:rPr>
        <w:t>On August 20, 2019, Code Enforcement staff was contacted by Grant Dewey, Executive Director of the WMMI</w:t>
      </w:r>
      <w:r w:rsidR="00750C9D" w:rsidRPr="0071570D">
        <w:rPr>
          <w:rFonts w:ascii="Arial" w:hAnsi="Arial" w:cs="Arial"/>
        </w:rPr>
        <w:t>,</w:t>
      </w:r>
      <w:r w:rsidR="00CF53B0" w:rsidRPr="0071570D">
        <w:rPr>
          <w:rFonts w:ascii="Arial" w:hAnsi="Arial" w:cs="Arial"/>
        </w:rPr>
        <w:t xml:space="preserve"> </w:t>
      </w:r>
      <w:r w:rsidR="000317CC" w:rsidRPr="0071570D">
        <w:rPr>
          <w:rFonts w:ascii="Arial" w:hAnsi="Arial" w:cs="Arial"/>
        </w:rPr>
        <w:t xml:space="preserve">who </w:t>
      </w:r>
      <w:r w:rsidR="00CF53B0" w:rsidRPr="0071570D">
        <w:rPr>
          <w:rFonts w:ascii="Arial" w:hAnsi="Arial" w:cs="Arial"/>
        </w:rPr>
        <w:t>believed the WMMI had an exemption to hold events on the property and said that the WMMI had been holding events for more than a decade.</w:t>
      </w:r>
      <w:r w:rsidR="00606D37" w:rsidRPr="0071570D">
        <w:rPr>
          <w:rFonts w:ascii="Arial" w:hAnsi="Arial" w:cs="Arial"/>
        </w:rPr>
        <w:t xml:space="preserve"> </w:t>
      </w:r>
    </w:p>
    <w:p w14:paraId="6DAEBEE5" w14:textId="63DE4B07" w:rsidR="00954125" w:rsidRPr="0071570D" w:rsidRDefault="00954125" w:rsidP="0071570D">
      <w:pPr>
        <w:spacing w:line="276" w:lineRule="auto"/>
        <w:ind w:right="187"/>
        <w:jc w:val="both"/>
        <w:rPr>
          <w:rFonts w:ascii="Arial" w:hAnsi="Arial" w:cs="Arial"/>
        </w:rPr>
      </w:pPr>
    </w:p>
    <w:p w14:paraId="61F144DA" w14:textId="315DE84D" w:rsidR="00954125" w:rsidRPr="0071570D" w:rsidRDefault="000317CC" w:rsidP="0071570D">
      <w:pPr>
        <w:spacing w:line="276" w:lineRule="auto"/>
        <w:ind w:right="187"/>
        <w:jc w:val="both"/>
        <w:rPr>
          <w:rFonts w:ascii="Arial" w:hAnsi="Arial" w:cs="Arial"/>
        </w:rPr>
      </w:pPr>
      <w:r w:rsidRPr="0071570D">
        <w:rPr>
          <w:rFonts w:ascii="Arial" w:hAnsi="Arial" w:cs="Arial"/>
        </w:rPr>
        <w:t>A rezone of the property from A-4 (Agricultural) to A-5 (Agricultural)</w:t>
      </w:r>
      <w:r w:rsidR="004C4EEE" w:rsidRPr="0071570D">
        <w:rPr>
          <w:rFonts w:ascii="Arial" w:hAnsi="Arial" w:cs="Arial"/>
        </w:rPr>
        <w:t>,</w:t>
      </w:r>
      <w:r w:rsidRPr="0071570D">
        <w:rPr>
          <w:rFonts w:ascii="Arial" w:hAnsi="Arial" w:cs="Arial"/>
        </w:rPr>
        <w:t xml:space="preserve"> </w:t>
      </w:r>
      <w:r w:rsidR="00325085" w:rsidRPr="0071570D">
        <w:rPr>
          <w:rFonts w:ascii="Arial" w:hAnsi="Arial" w:cs="Arial"/>
        </w:rPr>
        <w:t xml:space="preserve">as well as </w:t>
      </w:r>
      <w:r w:rsidR="0002513B">
        <w:rPr>
          <w:rFonts w:ascii="Arial" w:hAnsi="Arial" w:cs="Arial"/>
        </w:rPr>
        <w:t xml:space="preserve">an </w:t>
      </w:r>
      <w:r w:rsidR="00325085" w:rsidRPr="0071570D">
        <w:rPr>
          <w:rFonts w:ascii="Arial" w:hAnsi="Arial" w:cs="Arial"/>
        </w:rPr>
        <w:t>approval of location</w:t>
      </w:r>
      <w:r w:rsidR="004C4EEE" w:rsidRPr="0071570D">
        <w:rPr>
          <w:rFonts w:ascii="Arial" w:hAnsi="Arial" w:cs="Arial"/>
        </w:rPr>
        <w:t>,</w:t>
      </w:r>
      <w:r w:rsidR="00325085" w:rsidRPr="0071570D">
        <w:rPr>
          <w:rFonts w:ascii="Arial" w:hAnsi="Arial" w:cs="Arial"/>
        </w:rPr>
        <w:t xml:space="preserve"> for a museum </w:t>
      </w:r>
      <w:r w:rsidRPr="0071570D">
        <w:rPr>
          <w:rFonts w:ascii="Arial" w:hAnsi="Arial" w:cs="Arial"/>
        </w:rPr>
        <w:t xml:space="preserve">was approved on </w:t>
      </w:r>
      <w:r w:rsidR="002F1E16" w:rsidRPr="0071570D">
        <w:rPr>
          <w:rFonts w:ascii="Arial" w:hAnsi="Arial" w:cs="Arial"/>
        </w:rPr>
        <w:t>May 1,</w:t>
      </w:r>
      <w:r w:rsidRPr="0071570D">
        <w:rPr>
          <w:rFonts w:ascii="Arial" w:hAnsi="Arial" w:cs="Arial"/>
        </w:rPr>
        <w:t xml:space="preserve"> 1975 (reference attached File No. </w:t>
      </w:r>
      <w:r w:rsidR="00260B6D" w:rsidRPr="0071570D">
        <w:rPr>
          <w:rFonts w:ascii="Arial" w:hAnsi="Arial" w:cs="Arial"/>
        </w:rPr>
        <w:t>P75</w:t>
      </w:r>
      <w:r w:rsidR="00325085" w:rsidRPr="0071570D">
        <w:rPr>
          <w:rFonts w:ascii="Arial" w:hAnsi="Arial" w:cs="Arial"/>
        </w:rPr>
        <w:t xml:space="preserve">002Z and </w:t>
      </w:r>
      <w:r w:rsidR="00193971" w:rsidRPr="0071570D">
        <w:rPr>
          <w:rFonts w:ascii="Arial" w:hAnsi="Arial" w:cs="Arial"/>
        </w:rPr>
        <w:t xml:space="preserve">File No. </w:t>
      </w:r>
      <w:r w:rsidR="00325085" w:rsidRPr="0071570D">
        <w:rPr>
          <w:rFonts w:ascii="Arial" w:hAnsi="Arial" w:cs="Arial"/>
        </w:rPr>
        <w:t>AL75-3</w:t>
      </w:r>
      <w:r w:rsidRPr="0071570D">
        <w:rPr>
          <w:rFonts w:ascii="Arial" w:hAnsi="Arial" w:cs="Arial"/>
        </w:rPr>
        <w:t>).</w:t>
      </w:r>
      <w:r w:rsidR="00325085" w:rsidRPr="0071570D">
        <w:rPr>
          <w:rFonts w:ascii="Arial" w:hAnsi="Arial" w:cs="Arial"/>
        </w:rPr>
        <w:t xml:space="preserve"> </w:t>
      </w:r>
      <w:r w:rsidR="00A260F1" w:rsidRPr="0071570D">
        <w:rPr>
          <w:rFonts w:ascii="Arial" w:hAnsi="Arial" w:cs="Arial"/>
        </w:rPr>
        <w:t xml:space="preserve">The </w:t>
      </w:r>
      <w:r w:rsidR="00C30705" w:rsidRPr="0002513B">
        <w:rPr>
          <w:rFonts w:ascii="Arial" w:hAnsi="Arial" w:cs="Arial"/>
          <w:u w:val="single"/>
        </w:rPr>
        <w:t>Land Development Code</w:t>
      </w:r>
      <w:r w:rsidR="00A260F1" w:rsidRPr="0071570D">
        <w:rPr>
          <w:rFonts w:ascii="Arial" w:hAnsi="Arial" w:cs="Arial"/>
        </w:rPr>
        <w:t xml:space="preserve"> in 1975 defined a museum as “a building in which works of artistic, historical and scientific value are cared for and exhibited”. </w:t>
      </w:r>
      <w:r w:rsidR="00193971" w:rsidRPr="0071570D">
        <w:rPr>
          <w:rFonts w:ascii="Arial" w:hAnsi="Arial" w:cs="Arial"/>
        </w:rPr>
        <w:t>The A-5 zoning district was changed to become the present day RR-5 zoning district. A museum</w:t>
      </w:r>
      <w:r w:rsidR="0002513B">
        <w:rPr>
          <w:rFonts w:ascii="Arial" w:hAnsi="Arial" w:cs="Arial"/>
        </w:rPr>
        <w:t>, a new use,</w:t>
      </w:r>
      <w:r w:rsidR="00193971" w:rsidRPr="0071570D">
        <w:rPr>
          <w:rFonts w:ascii="Arial" w:hAnsi="Arial" w:cs="Arial"/>
        </w:rPr>
        <w:t xml:space="preserve"> would not be an allowed use today in the RR-5 zoning district. </w:t>
      </w:r>
      <w:r w:rsidR="002F1E16" w:rsidRPr="0071570D">
        <w:rPr>
          <w:rFonts w:ascii="Arial" w:hAnsi="Arial" w:cs="Arial"/>
        </w:rPr>
        <w:t xml:space="preserve">The events being held at the WMMI </w:t>
      </w:r>
      <w:r w:rsidR="009958F9" w:rsidRPr="0071570D">
        <w:rPr>
          <w:rFonts w:ascii="Arial" w:hAnsi="Arial" w:cs="Arial"/>
        </w:rPr>
        <w:t xml:space="preserve">are unrelated to the museum activities </w:t>
      </w:r>
      <w:r w:rsidR="00C30705" w:rsidRPr="0071570D">
        <w:rPr>
          <w:rFonts w:ascii="Arial" w:hAnsi="Arial" w:cs="Arial"/>
        </w:rPr>
        <w:t xml:space="preserve">and the WMMI </w:t>
      </w:r>
      <w:r w:rsidR="00750C9D" w:rsidRPr="0071570D">
        <w:rPr>
          <w:rFonts w:ascii="Arial" w:hAnsi="Arial" w:cs="Arial"/>
        </w:rPr>
        <w:t xml:space="preserve">does </w:t>
      </w:r>
      <w:r w:rsidR="00C30705" w:rsidRPr="0071570D">
        <w:rPr>
          <w:rFonts w:ascii="Arial" w:hAnsi="Arial" w:cs="Arial"/>
        </w:rPr>
        <w:t xml:space="preserve">not have a legal non-conforming use to </w:t>
      </w:r>
      <w:r w:rsidR="0002513B">
        <w:rPr>
          <w:rFonts w:ascii="Arial" w:hAnsi="Arial" w:cs="Arial"/>
        </w:rPr>
        <w:t xml:space="preserve">authorize </w:t>
      </w:r>
      <w:r w:rsidR="00C30705" w:rsidRPr="0071570D">
        <w:rPr>
          <w:rFonts w:ascii="Arial" w:hAnsi="Arial" w:cs="Arial"/>
        </w:rPr>
        <w:t>hold</w:t>
      </w:r>
      <w:r w:rsidR="0002513B">
        <w:rPr>
          <w:rFonts w:ascii="Arial" w:hAnsi="Arial" w:cs="Arial"/>
        </w:rPr>
        <w:t>ing</w:t>
      </w:r>
      <w:r w:rsidR="00C30705" w:rsidRPr="0071570D">
        <w:rPr>
          <w:rFonts w:ascii="Arial" w:hAnsi="Arial" w:cs="Arial"/>
        </w:rPr>
        <w:t xml:space="preserve"> the events. </w:t>
      </w:r>
    </w:p>
    <w:p w14:paraId="02FAD7A9" w14:textId="6C301D72" w:rsidR="00AC59AE" w:rsidRPr="0071570D" w:rsidRDefault="00AC59AE" w:rsidP="0071570D">
      <w:pPr>
        <w:spacing w:line="276" w:lineRule="auto"/>
        <w:ind w:right="187"/>
        <w:jc w:val="both"/>
        <w:rPr>
          <w:rFonts w:ascii="Arial" w:hAnsi="Arial" w:cs="Arial"/>
        </w:rPr>
      </w:pPr>
    </w:p>
    <w:p w14:paraId="0CE6A152" w14:textId="61F5F6EC" w:rsidR="00AC59AE" w:rsidRPr="0071570D" w:rsidRDefault="00AC59AE" w:rsidP="0071570D">
      <w:pPr>
        <w:spacing w:line="276" w:lineRule="auto"/>
        <w:ind w:right="187"/>
        <w:jc w:val="both"/>
        <w:rPr>
          <w:rFonts w:ascii="Arial" w:hAnsi="Arial" w:cs="Arial"/>
        </w:rPr>
      </w:pPr>
      <w:r w:rsidRPr="0071570D">
        <w:rPr>
          <w:rFonts w:ascii="Arial" w:hAnsi="Arial" w:cs="Arial"/>
        </w:rPr>
        <w:t>An Early Assistance meeting was held with PCD staff and representative</w:t>
      </w:r>
      <w:r w:rsidR="00750C9D" w:rsidRPr="0071570D">
        <w:rPr>
          <w:rFonts w:ascii="Arial" w:hAnsi="Arial" w:cs="Arial"/>
        </w:rPr>
        <w:t>(</w:t>
      </w:r>
      <w:r w:rsidRPr="0071570D">
        <w:rPr>
          <w:rFonts w:ascii="Arial" w:hAnsi="Arial" w:cs="Arial"/>
        </w:rPr>
        <w:t>s</w:t>
      </w:r>
      <w:r w:rsidR="00750C9D" w:rsidRPr="0071570D">
        <w:rPr>
          <w:rFonts w:ascii="Arial" w:hAnsi="Arial" w:cs="Arial"/>
        </w:rPr>
        <w:t>)</w:t>
      </w:r>
      <w:r w:rsidRPr="0071570D">
        <w:rPr>
          <w:rFonts w:ascii="Arial" w:hAnsi="Arial" w:cs="Arial"/>
        </w:rPr>
        <w:t xml:space="preserve"> from the WMMI on October 10, 2019. The events</w:t>
      </w:r>
      <w:r w:rsidR="002C0C1B" w:rsidRPr="0071570D">
        <w:rPr>
          <w:rFonts w:ascii="Arial" w:hAnsi="Arial" w:cs="Arial"/>
        </w:rPr>
        <w:t>, excluding events related to the museum,</w:t>
      </w:r>
      <w:r w:rsidRPr="0071570D">
        <w:rPr>
          <w:rFonts w:ascii="Arial" w:hAnsi="Arial" w:cs="Arial"/>
        </w:rPr>
        <w:t xml:space="preserve"> being held at the WMMI were classified as a “business event center” which is not an allowed use in the RR-5 zoning district. </w:t>
      </w:r>
      <w:r w:rsidR="003C7E22" w:rsidRPr="0071570D">
        <w:rPr>
          <w:rFonts w:ascii="Arial" w:hAnsi="Arial" w:cs="Arial"/>
        </w:rPr>
        <w:t xml:space="preserve">A business event center would be allowed in zoning districts such as the commercial zoning districts and as a special use in the forestry and agricultural zoning districts. </w:t>
      </w:r>
      <w:r w:rsidRPr="0071570D">
        <w:rPr>
          <w:rFonts w:ascii="Arial" w:hAnsi="Arial" w:cs="Arial"/>
        </w:rPr>
        <w:t xml:space="preserve">Application for a variance of use was not </w:t>
      </w:r>
      <w:r w:rsidR="0002513B">
        <w:rPr>
          <w:rFonts w:ascii="Arial" w:hAnsi="Arial" w:cs="Arial"/>
        </w:rPr>
        <w:t>made by the WMMI,</w:t>
      </w:r>
      <w:r w:rsidRPr="0071570D">
        <w:rPr>
          <w:rFonts w:ascii="Arial" w:hAnsi="Arial" w:cs="Arial"/>
        </w:rPr>
        <w:t xml:space="preserve"> resulting in a new notice of violation on April 4, 2020</w:t>
      </w:r>
      <w:r w:rsidR="0002513B">
        <w:rPr>
          <w:rFonts w:ascii="Arial" w:hAnsi="Arial" w:cs="Arial"/>
        </w:rPr>
        <w:t>,</w:t>
      </w:r>
      <w:r w:rsidRPr="0071570D">
        <w:rPr>
          <w:rFonts w:ascii="Arial" w:hAnsi="Arial" w:cs="Arial"/>
        </w:rPr>
        <w:t xml:space="preserve"> to include the violation of operating a business event center</w:t>
      </w:r>
      <w:r w:rsidR="00750C9D" w:rsidRPr="0071570D">
        <w:rPr>
          <w:rFonts w:ascii="Arial" w:hAnsi="Arial" w:cs="Arial"/>
        </w:rPr>
        <w:t xml:space="preserve"> in violation of the </w:t>
      </w:r>
      <w:r w:rsidR="00750C9D" w:rsidRPr="0002513B">
        <w:rPr>
          <w:rFonts w:ascii="Arial" w:hAnsi="Arial" w:cs="Arial"/>
          <w:u w:val="single"/>
        </w:rPr>
        <w:t>LDC</w:t>
      </w:r>
      <w:r w:rsidR="00750C9D" w:rsidRPr="0071570D">
        <w:rPr>
          <w:rFonts w:ascii="Arial" w:hAnsi="Arial" w:cs="Arial"/>
        </w:rPr>
        <w:t xml:space="preserve">. </w:t>
      </w:r>
    </w:p>
    <w:p w14:paraId="4193D1B0" w14:textId="25CDAEAA" w:rsidR="00606D37" w:rsidRPr="0071570D" w:rsidRDefault="00AC59AE" w:rsidP="0071570D">
      <w:pPr>
        <w:ind w:right="180"/>
        <w:jc w:val="both"/>
        <w:rPr>
          <w:rFonts w:ascii="Arial" w:hAnsi="Arial" w:cs="Arial"/>
        </w:rPr>
      </w:pPr>
      <w:r w:rsidRPr="0071570D">
        <w:rPr>
          <w:rFonts w:ascii="Arial" w:hAnsi="Arial" w:cs="Arial"/>
        </w:rPr>
        <w:t xml:space="preserve"> </w:t>
      </w:r>
    </w:p>
    <w:p w14:paraId="4F965854" w14:textId="00AA0551" w:rsidR="00257D5F" w:rsidRDefault="00A748BB" w:rsidP="0071570D">
      <w:pPr>
        <w:spacing w:line="276" w:lineRule="auto"/>
        <w:ind w:right="187"/>
        <w:jc w:val="both"/>
        <w:rPr>
          <w:rFonts w:ascii="Arial" w:hAnsi="Arial" w:cs="Arial"/>
        </w:rPr>
      </w:pPr>
      <w:r>
        <w:rPr>
          <w:rFonts w:ascii="Arial" w:hAnsi="Arial" w:cs="Arial"/>
        </w:rPr>
        <w:t xml:space="preserve">An executive determination was issued on </w:t>
      </w:r>
      <w:r w:rsidR="00BB5CF7">
        <w:rPr>
          <w:rFonts w:ascii="Arial" w:hAnsi="Arial" w:cs="Arial"/>
        </w:rPr>
        <w:t>June 10</w:t>
      </w:r>
      <w:r>
        <w:rPr>
          <w:rFonts w:ascii="Arial" w:hAnsi="Arial" w:cs="Arial"/>
        </w:rPr>
        <w:t>, 2020</w:t>
      </w:r>
      <w:r w:rsidR="000B78A9">
        <w:rPr>
          <w:rFonts w:ascii="Arial" w:hAnsi="Arial" w:cs="Arial"/>
        </w:rPr>
        <w:t>,</w:t>
      </w:r>
      <w:r>
        <w:rPr>
          <w:rFonts w:ascii="Arial" w:hAnsi="Arial" w:cs="Arial"/>
        </w:rPr>
        <w:t xml:space="preserve"> </w:t>
      </w:r>
      <w:r w:rsidR="0002513B">
        <w:rPr>
          <w:rFonts w:ascii="Arial" w:hAnsi="Arial" w:cs="Arial"/>
        </w:rPr>
        <w:t>as a result of the WMMI failing to submit a complete variance of use application</w:t>
      </w:r>
      <w:r w:rsidR="00BB5CF7">
        <w:rPr>
          <w:rFonts w:ascii="Arial" w:hAnsi="Arial" w:cs="Arial"/>
        </w:rPr>
        <w:t xml:space="preserve">. </w:t>
      </w:r>
      <w:r>
        <w:rPr>
          <w:rFonts w:ascii="Arial" w:hAnsi="Arial" w:cs="Arial"/>
        </w:rPr>
        <w:t xml:space="preserve">A request </w:t>
      </w:r>
      <w:r w:rsidR="0002513B">
        <w:rPr>
          <w:rFonts w:ascii="Arial" w:hAnsi="Arial" w:cs="Arial"/>
        </w:rPr>
        <w:t>by the WMMI to</w:t>
      </w:r>
      <w:r>
        <w:rPr>
          <w:rFonts w:ascii="Arial" w:hAnsi="Arial" w:cs="Arial"/>
        </w:rPr>
        <w:t xml:space="preserve"> appeal </w:t>
      </w:r>
      <w:r w:rsidR="001A540F">
        <w:rPr>
          <w:rFonts w:ascii="Arial" w:hAnsi="Arial" w:cs="Arial"/>
        </w:rPr>
        <w:t xml:space="preserve">the executive determination </w:t>
      </w:r>
      <w:r>
        <w:rPr>
          <w:rFonts w:ascii="Arial" w:hAnsi="Arial" w:cs="Arial"/>
        </w:rPr>
        <w:t xml:space="preserve">was received on </w:t>
      </w:r>
      <w:r w:rsidR="00BB5CF7">
        <w:rPr>
          <w:rFonts w:ascii="Arial" w:hAnsi="Arial" w:cs="Arial"/>
        </w:rPr>
        <w:t>June 19</w:t>
      </w:r>
      <w:r>
        <w:rPr>
          <w:rFonts w:ascii="Arial" w:hAnsi="Arial" w:cs="Arial"/>
        </w:rPr>
        <w:t xml:space="preserve">, 2020. </w:t>
      </w:r>
    </w:p>
    <w:p w14:paraId="154A6E8B" w14:textId="77777777" w:rsidR="001A7356" w:rsidRDefault="001A7356" w:rsidP="00561C9E">
      <w:pPr>
        <w:widowControl w:val="0"/>
        <w:spacing w:before="3" w:line="276" w:lineRule="auto"/>
        <w:ind w:right="6387"/>
        <w:rPr>
          <w:rFonts w:ascii="Arial" w:eastAsia="Calibri" w:hAnsi="Arial" w:cs="Arial"/>
        </w:rPr>
      </w:pPr>
    </w:p>
    <w:p w14:paraId="2DB743A1" w14:textId="77777777" w:rsidR="001A7356" w:rsidRDefault="001A7356" w:rsidP="00561C9E">
      <w:pPr>
        <w:widowControl w:val="0"/>
        <w:spacing w:before="3" w:line="276" w:lineRule="auto"/>
        <w:ind w:right="6387"/>
        <w:rPr>
          <w:rFonts w:ascii="Arial" w:eastAsia="Calibri" w:hAnsi="Arial" w:cs="Arial"/>
        </w:rPr>
      </w:pPr>
    </w:p>
    <w:p w14:paraId="219A653A" w14:textId="77777777" w:rsidR="001A7356" w:rsidRDefault="001A7356" w:rsidP="00561C9E">
      <w:pPr>
        <w:widowControl w:val="0"/>
        <w:spacing w:before="3" w:line="276" w:lineRule="auto"/>
        <w:ind w:right="6387"/>
        <w:rPr>
          <w:rFonts w:ascii="Arial" w:eastAsia="Calibri" w:hAnsi="Arial" w:cs="Arial"/>
        </w:rPr>
      </w:pPr>
    </w:p>
    <w:p w14:paraId="5A4F9919" w14:textId="77777777" w:rsidR="001A7356" w:rsidRDefault="001A7356" w:rsidP="00561C9E">
      <w:pPr>
        <w:widowControl w:val="0"/>
        <w:spacing w:before="3" w:line="276" w:lineRule="auto"/>
        <w:ind w:right="6387"/>
        <w:rPr>
          <w:rFonts w:ascii="Arial" w:eastAsia="Calibri" w:hAnsi="Arial" w:cs="Arial"/>
        </w:rPr>
      </w:pPr>
    </w:p>
    <w:p w14:paraId="618D539A" w14:textId="3B2A2163" w:rsidR="00561C9E" w:rsidRPr="00BA5CB7" w:rsidRDefault="00561C9E" w:rsidP="00561C9E">
      <w:pPr>
        <w:widowControl w:val="0"/>
        <w:spacing w:before="3" w:line="276" w:lineRule="auto"/>
        <w:ind w:right="6387"/>
        <w:rPr>
          <w:rFonts w:ascii="Arial" w:eastAsia="Arial" w:hAnsi="Arial" w:cs="Arial"/>
          <w:b/>
        </w:rPr>
      </w:pPr>
      <w:bookmarkStart w:id="0" w:name="_GoBack"/>
      <w:bookmarkEnd w:id="0"/>
      <w:r w:rsidRPr="00BA5CB7">
        <w:rPr>
          <w:rFonts w:ascii="Arial" w:eastAsia="Calibri" w:hAnsi="Arial" w:cs="Arial"/>
          <w:b/>
          <w:w w:val="105"/>
        </w:rPr>
        <w:lastRenderedPageBreak/>
        <w:t xml:space="preserve">Recommendation: </w:t>
      </w:r>
    </w:p>
    <w:p w14:paraId="05CD348F" w14:textId="77777777" w:rsidR="00C74C0C" w:rsidRPr="00C47FB8" w:rsidRDefault="00C74C0C" w:rsidP="0071570D">
      <w:pPr>
        <w:spacing w:line="276" w:lineRule="auto"/>
        <w:ind w:right="187"/>
        <w:jc w:val="both"/>
        <w:rPr>
          <w:rFonts w:ascii="Arial" w:hAnsi="Arial" w:cs="Arial"/>
        </w:rPr>
      </w:pPr>
      <w:r w:rsidRPr="00C47FB8">
        <w:rPr>
          <w:rFonts w:ascii="Arial" w:hAnsi="Arial" w:cs="Arial"/>
        </w:rPr>
        <w:t>Staff recommends the Board deny the request for an appeal and affirm the decision of the PCD Executive Director to issue an executive determination to authorize the OCA to proceed with litigation.</w:t>
      </w:r>
    </w:p>
    <w:p w14:paraId="2C65FDDC" w14:textId="77777777" w:rsidR="0029338A" w:rsidRPr="00BA5CB7" w:rsidRDefault="0029338A" w:rsidP="00C74C0C">
      <w:pPr>
        <w:widowControl w:val="0"/>
        <w:spacing w:line="276" w:lineRule="auto"/>
        <w:ind w:right="916"/>
        <w:rPr>
          <w:rFonts w:ascii="Arial" w:eastAsia="Arial" w:hAnsi="Arial" w:cs="Arial"/>
        </w:rPr>
      </w:pPr>
    </w:p>
    <w:p w14:paraId="5FC8A554" w14:textId="77777777" w:rsidR="00561C9E" w:rsidRPr="00C74C0C" w:rsidRDefault="00561C9E" w:rsidP="00561C9E">
      <w:pPr>
        <w:widowControl w:val="0"/>
        <w:spacing w:line="276" w:lineRule="auto"/>
        <w:rPr>
          <w:rFonts w:ascii="Arial" w:eastAsia="Arial" w:hAnsi="Arial" w:cs="Arial"/>
          <w:b/>
          <w:bCs/>
        </w:rPr>
      </w:pPr>
      <w:r w:rsidRPr="00C74C0C">
        <w:rPr>
          <w:rFonts w:ascii="Arial" w:eastAsia="Arial" w:hAnsi="Arial" w:cs="Arial"/>
          <w:b/>
          <w:bCs/>
        </w:rPr>
        <w:t>Attachments:</w:t>
      </w:r>
    </w:p>
    <w:p w14:paraId="2F7B8180" w14:textId="77777777" w:rsidR="00561C9E" w:rsidRDefault="00561C9E" w:rsidP="00561C9E">
      <w:pPr>
        <w:widowControl w:val="0"/>
        <w:spacing w:line="276" w:lineRule="auto"/>
        <w:rPr>
          <w:rFonts w:ascii="Arial" w:eastAsia="Arial" w:hAnsi="Arial" w:cs="Arial"/>
        </w:rPr>
      </w:pPr>
      <w:r w:rsidRPr="00BA5CB7">
        <w:rPr>
          <w:rFonts w:ascii="Arial" w:eastAsia="Arial" w:hAnsi="Arial" w:cs="Arial"/>
        </w:rPr>
        <w:t>Vicinity map</w:t>
      </w:r>
    </w:p>
    <w:p w14:paraId="3023DA40" w14:textId="333D28DA" w:rsidR="00B3570B" w:rsidRDefault="00B3570B" w:rsidP="00561C9E">
      <w:pPr>
        <w:widowControl w:val="0"/>
        <w:spacing w:line="276" w:lineRule="auto"/>
        <w:rPr>
          <w:rFonts w:ascii="Arial" w:eastAsia="Arial" w:hAnsi="Arial" w:cs="Arial"/>
        </w:rPr>
      </w:pPr>
      <w:r>
        <w:rPr>
          <w:rFonts w:ascii="Arial" w:eastAsia="Arial" w:hAnsi="Arial" w:cs="Arial"/>
        </w:rPr>
        <w:t>Chronology Report</w:t>
      </w:r>
    </w:p>
    <w:p w14:paraId="4C5508EA" w14:textId="3360F8ED" w:rsidR="00855E62" w:rsidRDefault="00855E62" w:rsidP="00561C9E">
      <w:pPr>
        <w:widowControl w:val="0"/>
        <w:spacing w:line="276" w:lineRule="auto"/>
        <w:rPr>
          <w:rFonts w:ascii="Arial" w:eastAsia="Arial" w:hAnsi="Arial" w:cs="Arial"/>
        </w:rPr>
      </w:pPr>
      <w:r>
        <w:rPr>
          <w:rFonts w:ascii="Arial" w:eastAsia="Arial" w:hAnsi="Arial" w:cs="Arial"/>
        </w:rPr>
        <w:t>Executive Determination</w:t>
      </w:r>
    </w:p>
    <w:p w14:paraId="2A3A672D" w14:textId="7958D69D" w:rsidR="00F74542" w:rsidRDefault="00F74542" w:rsidP="00561C9E">
      <w:pPr>
        <w:widowControl w:val="0"/>
        <w:spacing w:line="276" w:lineRule="auto"/>
        <w:rPr>
          <w:rFonts w:ascii="Arial" w:eastAsia="Arial" w:hAnsi="Arial" w:cs="Arial"/>
        </w:rPr>
      </w:pPr>
      <w:r>
        <w:rPr>
          <w:rFonts w:ascii="Arial" w:eastAsia="Arial" w:hAnsi="Arial" w:cs="Arial"/>
        </w:rPr>
        <w:t xml:space="preserve">Appeal Request </w:t>
      </w:r>
    </w:p>
    <w:p w14:paraId="602E38B9" w14:textId="31672898" w:rsidR="00F74542" w:rsidRDefault="00F74542" w:rsidP="00561C9E">
      <w:pPr>
        <w:widowControl w:val="0"/>
        <w:spacing w:line="276" w:lineRule="auto"/>
        <w:rPr>
          <w:rFonts w:ascii="Arial" w:eastAsia="Arial" w:hAnsi="Arial" w:cs="Arial"/>
        </w:rPr>
      </w:pPr>
      <w:r>
        <w:rPr>
          <w:rFonts w:ascii="Arial" w:eastAsia="Arial" w:hAnsi="Arial" w:cs="Arial"/>
        </w:rPr>
        <w:t>Notice of Appeal Hearing</w:t>
      </w:r>
    </w:p>
    <w:p w14:paraId="454B677A" w14:textId="77777777" w:rsidR="00460E38" w:rsidRDefault="00975837" w:rsidP="00561C9E">
      <w:pPr>
        <w:widowControl w:val="0"/>
        <w:spacing w:line="276" w:lineRule="auto"/>
        <w:rPr>
          <w:rFonts w:ascii="Arial" w:eastAsia="Arial" w:hAnsi="Arial" w:cs="Arial"/>
        </w:rPr>
      </w:pPr>
      <w:r>
        <w:rPr>
          <w:rFonts w:ascii="Arial" w:eastAsia="Arial" w:hAnsi="Arial" w:cs="Arial"/>
        </w:rPr>
        <w:t xml:space="preserve">File No. </w:t>
      </w:r>
      <w:r w:rsidR="00460E38">
        <w:rPr>
          <w:rFonts w:ascii="Arial" w:eastAsia="Arial" w:hAnsi="Arial" w:cs="Arial"/>
        </w:rPr>
        <w:t>P75002Z</w:t>
      </w:r>
    </w:p>
    <w:p w14:paraId="5D8D0F81" w14:textId="476731C2" w:rsidR="00975837" w:rsidRDefault="00460E38" w:rsidP="00561C9E">
      <w:pPr>
        <w:widowControl w:val="0"/>
        <w:spacing w:line="276" w:lineRule="auto"/>
        <w:rPr>
          <w:rFonts w:ascii="Arial" w:eastAsia="Arial" w:hAnsi="Arial" w:cs="Arial"/>
        </w:rPr>
      </w:pPr>
      <w:r>
        <w:rPr>
          <w:rFonts w:ascii="Arial" w:eastAsia="Arial" w:hAnsi="Arial" w:cs="Arial"/>
        </w:rPr>
        <w:t xml:space="preserve">File No. </w:t>
      </w:r>
      <w:r w:rsidR="00975837">
        <w:rPr>
          <w:rFonts w:ascii="Arial" w:eastAsia="Arial" w:hAnsi="Arial" w:cs="Arial"/>
        </w:rPr>
        <w:t>AL-75-3</w:t>
      </w:r>
    </w:p>
    <w:p w14:paraId="0E402990" w14:textId="6A741665" w:rsidR="006366F2" w:rsidRDefault="006366F2" w:rsidP="00561C9E">
      <w:pPr>
        <w:widowControl w:val="0"/>
        <w:spacing w:line="276" w:lineRule="auto"/>
        <w:rPr>
          <w:rFonts w:ascii="Arial" w:eastAsia="Arial" w:hAnsi="Arial" w:cs="Arial"/>
        </w:rPr>
      </w:pPr>
      <w:r>
        <w:rPr>
          <w:rFonts w:ascii="Arial" w:eastAsia="Arial" w:hAnsi="Arial" w:cs="Arial"/>
        </w:rPr>
        <w:t>Other</w:t>
      </w:r>
    </w:p>
    <w:p w14:paraId="04A3504B" w14:textId="77777777" w:rsidR="00561C9E" w:rsidRPr="00E4591E" w:rsidRDefault="00561C9E" w:rsidP="00561C9E">
      <w:pPr>
        <w:widowControl w:val="0"/>
        <w:spacing w:line="276" w:lineRule="auto"/>
        <w:rPr>
          <w:rFonts w:ascii="Arial" w:eastAsia="Arial" w:hAnsi="Arial" w:cs="Arial"/>
        </w:rPr>
      </w:pPr>
    </w:p>
    <w:p w14:paraId="084C091E" w14:textId="77777777" w:rsidR="00E358AE" w:rsidRPr="00E358AE" w:rsidRDefault="00E358AE" w:rsidP="00E358AE">
      <w:pPr>
        <w:tabs>
          <w:tab w:val="left" w:pos="3135"/>
        </w:tabs>
      </w:pPr>
    </w:p>
    <w:sectPr w:rsidR="00E358AE" w:rsidRPr="00E358AE"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2F97" w14:textId="77777777" w:rsidR="00FA36B6" w:rsidRDefault="00FA36B6">
      <w:r>
        <w:separator/>
      </w:r>
    </w:p>
  </w:endnote>
  <w:endnote w:type="continuationSeparator" w:id="0">
    <w:p w14:paraId="76360613" w14:textId="77777777" w:rsidR="00FA36B6" w:rsidRDefault="00FA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8E81" w14:textId="77777777" w:rsidR="005409C0" w:rsidRDefault="00784A07">
    <w:pPr>
      <w:pStyle w:val="Footer"/>
    </w:pPr>
    <w:r>
      <w:rPr>
        <w:noProof/>
      </w:rPr>
      <mc:AlternateContent>
        <mc:Choice Requires="wps">
          <w:drawing>
            <wp:anchor distT="0" distB="0" distL="114300" distR="114300" simplePos="0" relativeHeight="251659264" behindDoc="0" locked="0" layoutInCell="1" allowOverlap="1" wp14:anchorId="5268DCA3" wp14:editId="1BE54231">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0EE2A" w14:textId="77777777"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6E7DAC41" w14:textId="77777777" w:rsidR="00302CB4" w:rsidRPr="00302CB4" w:rsidRDefault="00302CB4" w:rsidP="00302CB4">
                          <w:pPr>
                            <w:rPr>
                              <w:smallCaps/>
                              <w:sz w:val="10"/>
                              <w:szCs w:val="10"/>
                            </w:rPr>
                          </w:pPr>
                        </w:p>
                        <w:p w14:paraId="66462223" w14:textId="77777777" w:rsidR="00302CB4" w:rsidRDefault="00FA36B6" w:rsidP="00302CB4">
                          <w:pPr>
                            <w:jc w:val="center"/>
                            <w:rPr>
                              <w:smallCaps/>
                            </w:rPr>
                          </w:pPr>
                          <w:hyperlink r:id="rId1" w:history="1">
                            <w:r w:rsidR="00302CB4" w:rsidRPr="009C500C">
                              <w:rPr>
                                <w:rStyle w:val="Hyperlink"/>
                                <w:smallCaps/>
                              </w:rPr>
                              <w:t>www.ELPASOCO.com</w:t>
                            </w:r>
                          </w:hyperlink>
                          <w:r w:rsidR="00302CB4">
                            <w:rPr>
                              <w:smallCaps/>
                            </w:rPr>
                            <w:t xml:space="preserve">  </w:t>
                          </w:r>
                        </w:p>
                        <w:p w14:paraId="2B98818B" w14:textId="77777777"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8DCA3"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72C0EE2A" w14:textId="77777777"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6E7DAC41" w14:textId="77777777" w:rsidR="00302CB4" w:rsidRPr="00302CB4" w:rsidRDefault="00302CB4" w:rsidP="00302CB4">
                    <w:pPr>
                      <w:rPr>
                        <w:smallCaps/>
                        <w:sz w:val="10"/>
                        <w:szCs w:val="10"/>
                      </w:rPr>
                    </w:pPr>
                  </w:p>
                  <w:p w14:paraId="66462223" w14:textId="77777777" w:rsidR="00302CB4" w:rsidRDefault="005A39CB" w:rsidP="00302CB4">
                    <w:pPr>
                      <w:jc w:val="center"/>
                      <w:rPr>
                        <w:smallCaps/>
                      </w:rPr>
                    </w:pPr>
                    <w:hyperlink r:id="rId2" w:history="1">
                      <w:r w:rsidR="00302CB4" w:rsidRPr="009C500C">
                        <w:rPr>
                          <w:rStyle w:val="Hyperlink"/>
                          <w:smallCaps/>
                        </w:rPr>
                        <w:t>www.ELPASOCO.com</w:t>
                      </w:r>
                    </w:hyperlink>
                    <w:r w:rsidR="00302CB4">
                      <w:rPr>
                        <w:smallCaps/>
                      </w:rPr>
                      <w:t xml:space="preserve">  </w:t>
                    </w:r>
                  </w:p>
                  <w:p w14:paraId="2B98818B" w14:textId="77777777"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452917A2" wp14:editId="547C86C7">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2567" w14:textId="77777777" w:rsidR="00FA36B6" w:rsidRDefault="00FA36B6">
      <w:r>
        <w:separator/>
      </w:r>
    </w:p>
  </w:footnote>
  <w:footnote w:type="continuationSeparator" w:id="0">
    <w:p w14:paraId="2777446F" w14:textId="77777777" w:rsidR="00FA36B6" w:rsidRDefault="00FA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83FD"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51D2D0BF" wp14:editId="1F9F221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2F37F63" w14:textId="77777777" w:rsidR="005409C0" w:rsidRDefault="005409C0" w:rsidP="00567510">
    <w:pPr>
      <w:pStyle w:val="Header"/>
    </w:pPr>
  </w:p>
  <w:p w14:paraId="026AEA30" w14:textId="77777777"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36EC1CCF" wp14:editId="1B19F11E">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F038B" w14:textId="77777777"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14:paraId="48E7AA49" w14:textId="77777777"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14:paraId="7A7C9499" w14:textId="77777777"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C1CCF"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076F038B" w14:textId="77777777"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14:paraId="48E7AA49" w14:textId="77777777"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14:paraId="7A7C9499" w14:textId="77777777"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D43BD0D" wp14:editId="3AB87B8E">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2D14" w14:textId="77777777" w:rsidR="005409C0" w:rsidRPr="00D06ED3" w:rsidRDefault="00E358AE" w:rsidP="005718D3">
                          <w:pPr>
                            <w:pStyle w:val="Header"/>
                            <w:jc w:val="right"/>
                            <w:rPr>
                              <w:b/>
                              <w:smallCaps/>
                              <w:noProof/>
                              <w:sz w:val="16"/>
                              <w:szCs w:val="16"/>
                            </w:rPr>
                          </w:pPr>
                          <w:r>
                            <w:rPr>
                              <w:b/>
                              <w:smallCaps/>
                              <w:noProof/>
                              <w:sz w:val="16"/>
                              <w:szCs w:val="16"/>
                            </w:rPr>
                            <w:t>Holly Williams</w:t>
                          </w:r>
                        </w:p>
                        <w:p w14:paraId="72E24FB3" w14:textId="77777777" w:rsidR="005409C0" w:rsidRDefault="00E358AE" w:rsidP="00621C73">
                          <w:pPr>
                            <w:pStyle w:val="Header"/>
                            <w:jc w:val="right"/>
                            <w:rPr>
                              <w:b/>
                              <w:smallCaps/>
                              <w:noProof/>
                              <w:sz w:val="16"/>
                              <w:szCs w:val="16"/>
                            </w:rPr>
                          </w:pPr>
                          <w:r>
                            <w:rPr>
                              <w:b/>
                              <w:smallCaps/>
                              <w:noProof/>
                              <w:sz w:val="16"/>
                              <w:szCs w:val="16"/>
                            </w:rPr>
                            <w:t>Stan VanderWerf</w:t>
                          </w:r>
                        </w:p>
                        <w:p w14:paraId="6F187465" w14:textId="77777777"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3BD0D"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5C242D14" w14:textId="77777777" w:rsidR="005409C0" w:rsidRPr="00D06ED3" w:rsidRDefault="00E358AE" w:rsidP="005718D3">
                    <w:pPr>
                      <w:pStyle w:val="Header"/>
                      <w:jc w:val="right"/>
                      <w:rPr>
                        <w:b/>
                        <w:smallCaps/>
                        <w:noProof/>
                        <w:sz w:val="16"/>
                        <w:szCs w:val="16"/>
                      </w:rPr>
                    </w:pPr>
                    <w:r>
                      <w:rPr>
                        <w:b/>
                        <w:smallCaps/>
                        <w:noProof/>
                        <w:sz w:val="16"/>
                        <w:szCs w:val="16"/>
                      </w:rPr>
                      <w:t>Holly Williams</w:t>
                    </w:r>
                  </w:p>
                  <w:p w14:paraId="72E24FB3" w14:textId="77777777" w:rsidR="005409C0" w:rsidRDefault="00E358AE" w:rsidP="00621C73">
                    <w:pPr>
                      <w:pStyle w:val="Header"/>
                      <w:jc w:val="right"/>
                      <w:rPr>
                        <w:b/>
                        <w:smallCaps/>
                        <w:noProof/>
                        <w:sz w:val="16"/>
                        <w:szCs w:val="16"/>
                      </w:rPr>
                    </w:pPr>
                    <w:r>
                      <w:rPr>
                        <w:b/>
                        <w:smallCaps/>
                        <w:noProof/>
                        <w:sz w:val="16"/>
                        <w:szCs w:val="16"/>
                      </w:rPr>
                      <w:t>Stan VanderWerf</w:t>
                    </w:r>
                  </w:p>
                  <w:p w14:paraId="6F187465" w14:textId="77777777"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14:paraId="5AA6D23B" w14:textId="77777777" w:rsidR="005409C0" w:rsidRDefault="005409C0" w:rsidP="00567510">
    <w:pPr>
      <w:pStyle w:val="Header"/>
    </w:pPr>
  </w:p>
  <w:p w14:paraId="4CDC1460"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338"/>
    <w:multiLevelType w:val="hybridMultilevel"/>
    <w:tmpl w:val="F26A5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77095"/>
    <w:multiLevelType w:val="hybridMultilevel"/>
    <w:tmpl w:val="CC601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AC338C"/>
    <w:multiLevelType w:val="hybridMultilevel"/>
    <w:tmpl w:val="60424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4C0C8A"/>
    <w:multiLevelType w:val="hybridMultilevel"/>
    <w:tmpl w:val="8710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6A00"/>
    <w:multiLevelType w:val="hybridMultilevel"/>
    <w:tmpl w:val="A25C4C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1F3034"/>
    <w:multiLevelType w:val="hybridMultilevel"/>
    <w:tmpl w:val="0CFC956C"/>
    <w:lvl w:ilvl="0" w:tplc="D1C2AB8E">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96750DD"/>
    <w:multiLevelType w:val="hybridMultilevel"/>
    <w:tmpl w:val="95F08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A00614"/>
    <w:multiLevelType w:val="hybridMultilevel"/>
    <w:tmpl w:val="D4F68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0BFA"/>
    <w:rsid w:val="00005C75"/>
    <w:rsid w:val="00010CE0"/>
    <w:rsid w:val="0001702A"/>
    <w:rsid w:val="0002513B"/>
    <w:rsid w:val="000317CC"/>
    <w:rsid w:val="0003301A"/>
    <w:rsid w:val="0004614F"/>
    <w:rsid w:val="0005610F"/>
    <w:rsid w:val="00056D3A"/>
    <w:rsid w:val="00070633"/>
    <w:rsid w:val="0007275D"/>
    <w:rsid w:val="00087716"/>
    <w:rsid w:val="00093E6D"/>
    <w:rsid w:val="000A568A"/>
    <w:rsid w:val="000B16CE"/>
    <w:rsid w:val="000B78A9"/>
    <w:rsid w:val="000D45B5"/>
    <w:rsid w:val="000D52F9"/>
    <w:rsid w:val="000E0DBF"/>
    <w:rsid w:val="00104BF1"/>
    <w:rsid w:val="00131D5B"/>
    <w:rsid w:val="0013218A"/>
    <w:rsid w:val="001329D9"/>
    <w:rsid w:val="00133255"/>
    <w:rsid w:val="001379EB"/>
    <w:rsid w:val="00146DCB"/>
    <w:rsid w:val="00177743"/>
    <w:rsid w:val="00186061"/>
    <w:rsid w:val="00186F90"/>
    <w:rsid w:val="00191856"/>
    <w:rsid w:val="00193971"/>
    <w:rsid w:val="00194E05"/>
    <w:rsid w:val="001A540F"/>
    <w:rsid w:val="001A71E2"/>
    <w:rsid w:val="001A7356"/>
    <w:rsid w:val="001B51AA"/>
    <w:rsid w:val="001C0680"/>
    <w:rsid w:val="001C427F"/>
    <w:rsid w:val="001D75D4"/>
    <w:rsid w:val="00222B76"/>
    <w:rsid w:val="002253E8"/>
    <w:rsid w:val="00242EEA"/>
    <w:rsid w:val="0024685C"/>
    <w:rsid w:val="002514D7"/>
    <w:rsid w:val="00257D5F"/>
    <w:rsid w:val="00260B6D"/>
    <w:rsid w:val="00260EB7"/>
    <w:rsid w:val="0029338A"/>
    <w:rsid w:val="002A6134"/>
    <w:rsid w:val="002C0C1B"/>
    <w:rsid w:val="002F1E16"/>
    <w:rsid w:val="00302CB4"/>
    <w:rsid w:val="00322F48"/>
    <w:rsid w:val="00324E3C"/>
    <w:rsid w:val="00325085"/>
    <w:rsid w:val="00326477"/>
    <w:rsid w:val="00354B6C"/>
    <w:rsid w:val="00361029"/>
    <w:rsid w:val="00363F08"/>
    <w:rsid w:val="00365C85"/>
    <w:rsid w:val="00374B2B"/>
    <w:rsid w:val="00386666"/>
    <w:rsid w:val="00387EB3"/>
    <w:rsid w:val="003A31B6"/>
    <w:rsid w:val="003B25FD"/>
    <w:rsid w:val="003C0FE3"/>
    <w:rsid w:val="003C52A3"/>
    <w:rsid w:val="003C7E22"/>
    <w:rsid w:val="003E2FF1"/>
    <w:rsid w:val="00403EB3"/>
    <w:rsid w:val="00416345"/>
    <w:rsid w:val="00434D73"/>
    <w:rsid w:val="00435114"/>
    <w:rsid w:val="00443462"/>
    <w:rsid w:val="00446835"/>
    <w:rsid w:val="004501E0"/>
    <w:rsid w:val="0045061A"/>
    <w:rsid w:val="00457C6C"/>
    <w:rsid w:val="00460E38"/>
    <w:rsid w:val="00465395"/>
    <w:rsid w:val="00467D81"/>
    <w:rsid w:val="00467ECD"/>
    <w:rsid w:val="00486A4A"/>
    <w:rsid w:val="00495902"/>
    <w:rsid w:val="004A060E"/>
    <w:rsid w:val="004B19EF"/>
    <w:rsid w:val="004B2060"/>
    <w:rsid w:val="004B3A8C"/>
    <w:rsid w:val="004B7C48"/>
    <w:rsid w:val="004C4EEE"/>
    <w:rsid w:val="004D7EDA"/>
    <w:rsid w:val="004E466F"/>
    <w:rsid w:val="004F1AE8"/>
    <w:rsid w:val="004F2CF4"/>
    <w:rsid w:val="00527561"/>
    <w:rsid w:val="005362B8"/>
    <w:rsid w:val="005409C0"/>
    <w:rsid w:val="00540FAA"/>
    <w:rsid w:val="0054367F"/>
    <w:rsid w:val="0055656A"/>
    <w:rsid w:val="00556B76"/>
    <w:rsid w:val="00561C9E"/>
    <w:rsid w:val="005627EB"/>
    <w:rsid w:val="00567510"/>
    <w:rsid w:val="005718D3"/>
    <w:rsid w:val="00585127"/>
    <w:rsid w:val="005963E0"/>
    <w:rsid w:val="005A39CB"/>
    <w:rsid w:val="005C5D74"/>
    <w:rsid w:val="005C7022"/>
    <w:rsid w:val="005D70B8"/>
    <w:rsid w:val="005E6674"/>
    <w:rsid w:val="00606D37"/>
    <w:rsid w:val="00621C73"/>
    <w:rsid w:val="00624563"/>
    <w:rsid w:val="00634779"/>
    <w:rsid w:val="006366F2"/>
    <w:rsid w:val="0064262C"/>
    <w:rsid w:val="00643014"/>
    <w:rsid w:val="00646DD0"/>
    <w:rsid w:val="00660E03"/>
    <w:rsid w:val="006620FD"/>
    <w:rsid w:val="00671C02"/>
    <w:rsid w:val="006A0883"/>
    <w:rsid w:val="006A50C3"/>
    <w:rsid w:val="006B3AD6"/>
    <w:rsid w:val="006C72BC"/>
    <w:rsid w:val="006F0663"/>
    <w:rsid w:val="006F1DDE"/>
    <w:rsid w:val="00701160"/>
    <w:rsid w:val="007048F0"/>
    <w:rsid w:val="00711554"/>
    <w:rsid w:val="00711985"/>
    <w:rsid w:val="0071570D"/>
    <w:rsid w:val="00721342"/>
    <w:rsid w:val="0072708B"/>
    <w:rsid w:val="00737A7C"/>
    <w:rsid w:val="007421F8"/>
    <w:rsid w:val="00746E10"/>
    <w:rsid w:val="00750C9D"/>
    <w:rsid w:val="00765D86"/>
    <w:rsid w:val="00774D4E"/>
    <w:rsid w:val="00784A07"/>
    <w:rsid w:val="00786E68"/>
    <w:rsid w:val="00790080"/>
    <w:rsid w:val="00795B09"/>
    <w:rsid w:val="007A4DF9"/>
    <w:rsid w:val="007B0141"/>
    <w:rsid w:val="007B4923"/>
    <w:rsid w:val="007D1E78"/>
    <w:rsid w:val="007D35BA"/>
    <w:rsid w:val="007D6F5F"/>
    <w:rsid w:val="007F12A4"/>
    <w:rsid w:val="007F377F"/>
    <w:rsid w:val="0080298C"/>
    <w:rsid w:val="00803971"/>
    <w:rsid w:val="00806D6D"/>
    <w:rsid w:val="00834D45"/>
    <w:rsid w:val="00844E6F"/>
    <w:rsid w:val="0085138A"/>
    <w:rsid w:val="00855E62"/>
    <w:rsid w:val="008A35FD"/>
    <w:rsid w:val="008C0817"/>
    <w:rsid w:val="008C0CA1"/>
    <w:rsid w:val="008E1A15"/>
    <w:rsid w:val="008F7FD8"/>
    <w:rsid w:val="00904A2A"/>
    <w:rsid w:val="009059FF"/>
    <w:rsid w:val="00911739"/>
    <w:rsid w:val="0093660E"/>
    <w:rsid w:val="00944507"/>
    <w:rsid w:val="00954125"/>
    <w:rsid w:val="009554F2"/>
    <w:rsid w:val="00955EC8"/>
    <w:rsid w:val="00962E04"/>
    <w:rsid w:val="009756A4"/>
    <w:rsid w:val="00975837"/>
    <w:rsid w:val="00976AA9"/>
    <w:rsid w:val="009958F9"/>
    <w:rsid w:val="009A2309"/>
    <w:rsid w:val="009A5D03"/>
    <w:rsid w:val="009C1CA8"/>
    <w:rsid w:val="009C773B"/>
    <w:rsid w:val="009D221C"/>
    <w:rsid w:val="009E74EF"/>
    <w:rsid w:val="009F5F97"/>
    <w:rsid w:val="009F6748"/>
    <w:rsid w:val="00A01007"/>
    <w:rsid w:val="00A13779"/>
    <w:rsid w:val="00A144B7"/>
    <w:rsid w:val="00A150AD"/>
    <w:rsid w:val="00A16121"/>
    <w:rsid w:val="00A17DE1"/>
    <w:rsid w:val="00A260F1"/>
    <w:rsid w:val="00A34B02"/>
    <w:rsid w:val="00A35E24"/>
    <w:rsid w:val="00A65D62"/>
    <w:rsid w:val="00A73D77"/>
    <w:rsid w:val="00A748BB"/>
    <w:rsid w:val="00A97DF7"/>
    <w:rsid w:val="00AC164C"/>
    <w:rsid w:val="00AC53B4"/>
    <w:rsid w:val="00AC59AE"/>
    <w:rsid w:val="00AD01C4"/>
    <w:rsid w:val="00AE6191"/>
    <w:rsid w:val="00B049D8"/>
    <w:rsid w:val="00B14663"/>
    <w:rsid w:val="00B15A85"/>
    <w:rsid w:val="00B176B4"/>
    <w:rsid w:val="00B203AE"/>
    <w:rsid w:val="00B26BB3"/>
    <w:rsid w:val="00B3130E"/>
    <w:rsid w:val="00B3570B"/>
    <w:rsid w:val="00B46A29"/>
    <w:rsid w:val="00B54E76"/>
    <w:rsid w:val="00B61FD4"/>
    <w:rsid w:val="00B67889"/>
    <w:rsid w:val="00B7700E"/>
    <w:rsid w:val="00B8239C"/>
    <w:rsid w:val="00B871C8"/>
    <w:rsid w:val="00B946EE"/>
    <w:rsid w:val="00B96623"/>
    <w:rsid w:val="00BA007C"/>
    <w:rsid w:val="00BB2717"/>
    <w:rsid w:val="00BB5CF7"/>
    <w:rsid w:val="00BB6F45"/>
    <w:rsid w:val="00BC38A7"/>
    <w:rsid w:val="00BC514D"/>
    <w:rsid w:val="00BC7115"/>
    <w:rsid w:val="00BC7D3F"/>
    <w:rsid w:val="00BE50C3"/>
    <w:rsid w:val="00C1079A"/>
    <w:rsid w:val="00C30705"/>
    <w:rsid w:val="00C31843"/>
    <w:rsid w:val="00C3394B"/>
    <w:rsid w:val="00C53D3D"/>
    <w:rsid w:val="00C5645F"/>
    <w:rsid w:val="00C569ED"/>
    <w:rsid w:val="00C60F04"/>
    <w:rsid w:val="00C64D8D"/>
    <w:rsid w:val="00C74C0C"/>
    <w:rsid w:val="00C828D1"/>
    <w:rsid w:val="00C93FD6"/>
    <w:rsid w:val="00CD4C2E"/>
    <w:rsid w:val="00CD63C6"/>
    <w:rsid w:val="00CE5866"/>
    <w:rsid w:val="00CE7884"/>
    <w:rsid w:val="00CF53B0"/>
    <w:rsid w:val="00D06E68"/>
    <w:rsid w:val="00D06ED3"/>
    <w:rsid w:val="00D35FB2"/>
    <w:rsid w:val="00D41587"/>
    <w:rsid w:val="00D66348"/>
    <w:rsid w:val="00D7001D"/>
    <w:rsid w:val="00D80464"/>
    <w:rsid w:val="00D922A7"/>
    <w:rsid w:val="00D97A51"/>
    <w:rsid w:val="00DB0628"/>
    <w:rsid w:val="00DE1DAC"/>
    <w:rsid w:val="00DF7FD9"/>
    <w:rsid w:val="00E30AFA"/>
    <w:rsid w:val="00E358AE"/>
    <w:rsid w:val="00E359D6"/>
    <w:rsid w:val="00E4616B"/>
    <w:rsid w:val="00E53FBF"/>
    <w:rsid w:val="00E71ABE"/>
    <w:rsid w:val="00E77C17"/>
    <w:rsid w:val="00E8040E"/>
    <w:rsid w:val="00E8072A"/>
    <w:rsid w:val="00E84EDC"/>
    <w:rsid w:val="00E869A1"/>
    <w:rsid w:val="00E90626"/>
    <w:rsid w:val="00EA1775"/>
    <w:rsid w:val="00EA291A"/>
    <w:rsid w:val="00EB5AA1"/>
    <w:rsid w:val="00EB5F7D"/>
    <w:rsid w:val="00EB65D0"/>
    <w:rsid w:val="00EE4B32"/>
    <w:rsid w:val="00EE70D0"/>
    <w:rsid w:val="00EF3242"/>
    <w:rsid w:val="00EF4EB4"/>
    <w:rsid w:val="00F0601F"/>
    <w:rsid w:val="00F063CA"/>
    <w:rsid w:val="00F120DC"/>
    <w:rsid w:val="00F15DCC"/>
    <w:rsid w:val="00F35F02"/>
    <w:rsid w:val="00F40B60"/>
    <w:rsid w:val="00F47881"/>
    <w:rsid w:val="00F628EA"/>
    <w:rsid w:val="00F64B1B"/>
    <w:rsid w:val="00F65803"/>
    <w:rsid w:val="00F66405"/>
    <w:rsid w:val="00F71002"/>
    <w:rsid w:val="00F74542"/>
    <w:rsid w:val="00F76A33"/>
    <w:rsid w:val="00F83F57"/>
    <w:rsid w:val="00FA2E34"/>
    <w:rsid w:val="00FA36B6"/>
    <w:rsid w:val="00FC6C03"/>
    <w:rsid w:val="00FD1811"/>
    <w:rsid w:val="00FD5A55"/>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9386E"/>
  <w15:docId w15:val="{333CE208-DBED-4B72-B180-65AA1ADF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561C9E"/>
    <w:pPr>
      <w:ind w:left="720"/>
      <w:contextualSpacing/>
    </w:pPr>
    <w:rPr>
      <w:sz w:val="20"/>
      <w:szCs w:val="20"/>
    </w:rPr>
  </w:style>
  <w:style w:type="paragraph" w:customStyle="1" w:styleId="Level4LDCBodyText">
    <w:name w:val="Level 4 LDC Body Text"/>
    <w:link w:val="Level4LDCBodyTextCharChar"/>
    <w:autoRedefine/>
    <w:rsid w:val="00561C9E"/>
    <w:pPr>
      <w:spacing w:before="60" w:after="60" w:line="276" w:lineRule="auto"/>
      <w:ind w:left="720"/>
    </w:pPr>
    <w:rPr>
      <w:rFonts w:ascii="Arial" w:hAnsi="Arial"/>
      <w:sz w:val="24"/>
      <w:szCs w:val="24"/>
    </w:rPr>
  </w:style>
  <w:style w:type="character" w:customStyle="1" w:styleId="Level4LDCBodyTextCharChar">
    <w:name w:val="Level 4 LDC Body Text Char Char"/>
    <w:basedOn w:val="DefaultParagraphFont"/>
    <w:link w:val="Level4LDCBodyText"/>
    <w:rsid w:val="00561C9E"/>
    <w:rPr>
      <w:rFonts w:ascii="Arial" w:hAnsi="Arial"/>
      <w:sz w:val="24"/>
      <w:szCs w:val="24"/>
    </w:rPr>
  </w:style>
  <w:style w:type="character" w:customStyle="1" w:styleId="bold1">
    <w:name w:val="bold1"/>
    <w:basedOn w:val="DefaultParagraphFont"/>
    <w:rsid w:val="006620FD"/>
    <w:rPr>
      <w:b/>
      <w:bCs/>
    </w:rPr>
  </w:style>
  <w:style w:type="character" w:styleId="CommentReference">
    <w:name w:val="annotation reference"/>
    <w:basedOn w:val="DefaultParagraphFont"/>
    <w:semiHidden/>
    <w:unhideWhenUsed/>
    <w:rsid w:val="000A568A"/>
    <w:rPr>
      <w:sz w:val="16"/>
      <w:szCs w:val="16"/>
    </w:rPr>
  </w:style>
  <w:style w:type="paragraph" w:styleId="CommentText">
    <w:name w:val="annotation text"/>
    <w:basedOn w:val="Normal"/>
    <w:link w:val="CommentTextChar"/>
    <w:semiHidden/>
    <w:unhideWhenUsed/>
    <w:rsid w:val="000A568A"/>
    <w:rPr>
      <w:sz w:val="20"/>
      <w:szCs w:val="20"/>
    </w:rPr>
  </w:style>
  <w:style w:type="character" w:customStyle="1" w:styleId="CommentTextChar">
    <w:name w:val="Comment Text Char"/>
    <w:basedOn w:val="DefaultParagraphFont"/>
    <w:link w:val="CommentText"/>
    <w:semiHidden/>
    <w:rsid w:val="000A568A"/>
  </w:style>
  <w:style w:type="paragraph" w:styleId="CommentSubject">
    <w:name w:val="annotation subject"/>
    <w:basedOn w:val="CommentText"/>
    <w:next w:val="CommentText"/>
    <w:link w:val="CommentSubjectChar"/>
    <w:semiHidden/>
    <w:unhideWhenUsed/>
    <w:rsid w:val="000A568A"/>
    <w:rPr>
      <w:b/>
      <w:bCs/>
    </w:rPr>
  </w:style>
  <w:style w:type="character" w:customStyle="1" w:styleId="CommentSubjectChar">
    <w:name w:val="Comment Subject Char"/>
    <w:basedOn w:val="CommentTextChar"/>
    <w:link w:val="CommentSubject"/>
    <w:semiHidden/>
    <w:rsid w:val="000A5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61375B5D647A2B4E769B6C2542204"/>
        <w:category>
          <w:name w:val="General"/>
          <w:gallery w:val="placeholder"/>
        </w:category>
        <w:types>
          <w:type w:val="bbPlcHdr"/>
        </w:types>
        <w:behaviors>
          <w:behavior w:val="content"/>
        </w:behaviors>
        <w:guid w:val="{EE225246-7C61-4158-B2BA-B6D0A09F55A5}"/>
      </w:docPartPr>
      <w:docPartBody>
        <w:p w:rsidR="00F845B3" w:rsidRDefault="008D55E3" w:rsidP="008D55E3">
          <w:pPr>
            <w:pStyle w:val="10361375B5D647A2B4E769B6C2542204"/>
          </w:pPr>
          <w:r w:rsidRPr="00A15A00">
            <w:rPr>
              <w:rStyle w:val="PlaceholderText"/>
            </w:rPr>
            <w:t>Click here to enter text.</w:t>
          </w:r>
        </w:p>
      </w:docPartBody>
    </w:docPart>
    <w:docPart>
      <w:docPartPr>
        <w:name w:val="75FF9EC771FB451693F35BD2CFE7EB5C"/>
        <w:category>
          <w:name w:val="General"/>
          <w:gallery w:val="placeholder"/>
        </w:category>
        <w:types>
          <w:type w:val="bbPlcHdr"/>
        </w:types>
        <w:behaviors>
          <w:behavior w:val="content"/>
        </w:behaviors>
        <w:guid w:val="{2CCE0307-78F9-42F3-BD27-EF409A31B5FB}"/>
      </w:docPartPr>
      <w:docPartBody>
        <w:p w:rsidR="00F845B3" w:rsidRDefault="008D55E3" w:rsidP="008D55E3">
          <w:pPr>
            <w:pStyle w:val="75FF9EC771FB451693F35BD2CFE7EB5C"/>
          </w:pPr>
          <w:r w:rsidRPr="00A15A00">
            <w:rPr>
              <w:rStyle w:val="PlaceholderText"/>
            </w:rPr>
            <w:t>Click here to enter text.</w:t>
          </w:r>
        </w:p>
      </w:docPartBody>
    </w:docPart>
    <w:docPart>
      <w:docPartPr>
        <w:name w:val="3DA0A345777143028D57B72954B74983"/>
        <w:category>
          <w:name w:val="General"/>
          <w:gallery w:val="placeholder"/>
        </w:category>
        <w:types>
          <w:type w:val="bbPlcHdr"/>
        </w:types>
        <w:behaviors>
          <w:behavior w:val="content"/>
        </w:behaviors>
        <w:guid w:val="{65CA1C21-DF25-4A32-BA68-4CFB27B736BB}"/>
      </w:docPartPr>
      <w:docPartBody>
        <w:p w:rsidR="00F845B3" w:rsidRDefault="008D55E3" w:rsidP="008D55E3">
          <w:pPr>
            <w:pStyle w:val="3DA0A345777143028D57B72954B74983"/>
          </w:pPr>
          <w:r w:rsidRPr="00A15A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5E3"/>
    <w:rsid w:val="000217F6"/>
    <w:rsid w:val="00085FB0"/>
    <w:rsid w:val="000F12DC"/>
    <w:rsid w:val="0025209B"/>
    <w:rsid w:val="002A5DC8"/>
    <w:rsid w:val="00314B0B"/>
    <w:rsid w:val="005705B0"/>
    <w:rsid w:val="00632974"/>
    <w:rsid w:val="00756CEA"/>
    <w:rsid w:val="00826245"/>
    <w:rsid w:val="008D55E3"/>
    <w:rsid w:val="00A41049"/>
    <w:rsid w:val="00AA25B1"/>
    <w:rsid w:val="00E60224"/>
    <w:rsid w:val="00F8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5E3"/>
    <w:rPr>
      <w:color w:val="808080"/>
    </w:rPr>
  </w:style>
  <w:style w:type="paragraph" w:customStyle="1" w:styleId="10361375B5D647A2B4E769B6C2542204">
    <w:name w:val="10361375B5D647A2B4E769B6C2542204"/>
    <w:rsid w:val="008D55E3"/>
  </w:style>
  <w:style w:type="paragraph" w:customStyle="1" w:styleId="75FF9EC771FB451693F35BD2CFE7EB5C">
    <w:name w:val="75FF9EC771FB451693F35BD2CFE7EB5C"/>
    <w:rsid w:val="008D55E3"/>
  </w:style>
  <w:style w:type="paragraph" w:customStyle="1" w:styleId="3DA0A345777143028D57B72954B74983">
    <w:name w:val="3DA0A345777143028D57B72954B74983"/>
    <w:rsid w:val="008D55E3"/>
  </w:style>
  <w:style w:type="paragraph" w:customStyle="1" w:styleId="830D5BA95D954CA3AD991691341709CB">
    <w:name w:val="830D5BA95D954CA3AD991691341709CB"/>
    <w:rsid w:val="008D55E3"/>
  </w:style>
  <w:style w:type="paragraph" w:customStyle="1" w:styleId="B846FBF827C5401FAC6D0833290C3A40">
    <w:name w:val="B846FBF827C5401FAC6D0833290C3A40"/>
    <w:rsid w:val="008D55E3"/>
  </w:style>
  <w:style w:type="paragraph" w:customStyle="1" w:styleId="7C745E01D83B40C8B93D0486F15F19A8">
    <w:name w:val="7C745E01D83B40C8B93D0486F15F19A8"/>
    <w:rsid w:val="008D55E3"/>
  </w:style>
  <w:style w:type="paragraph" w:customStyle="1" w:styleId="DA371A7685F0449FBFF5F9B1F9B5AA20">
    <w:name w:val="DA371A7685F0449FBFF5F9B1F9B5AA20"/>
    <w:rsid w:val="008D5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90829-042C-40EB-9089-1D11B133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Mindy Madden</cp:lastModifiedBy>
  <cp:revision>2</cp:revision>
  <cp:lastPrinted>2019-01-16T21:26:00Z</cp:lastPrinted>
  <dcterms:created xsi:type="dcterms:W3CDTF">2020-08-11T21:22:00Z</dcterms:created>
  <dcterms:modified xsi:type="dcterms:W3CDTF">2020-08-11T21:22:00Z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