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after="0" w:line="240" w:lineRule="auto"/>
        <w:ind w:left="855" w:right="1050" w:firstLine="0"/>
        <w:jc w:val="center"/>
        <w:rPr>
          <w:rFonts w:ascii="Segoe UI" w:cs="Segoe UI" w:hAnsi="Segoe UI" w:eastAsia="Segoe UI"/>
          <w:b w:val="1"/>
          <w:bCs w:val="1"/>
          <w:kern w:val="0"/>
          <w:sz w:val="18"/>
          <w:szCs w:val="18"/>
        </w:rPr>
      </w:pPr>
      <w:r>
        <w:rPr>
          <w:rFonts w:ascii="Times New Roman" w:hAnsi="Times New Roman"/>
          <w:b w:val="1"/>
          <w:bCs w:val="1"/>
          <w:kern w:val="0"/>
          <w:sz w:val="32"/>
          <w:szCs w:val="32"/>
          <w:rtl w:val="0"/>
          <w:lang w:val="en-US"/>
        </w:rPr>
        <w:t>Verizon Wireless 60-Day Eligible Facility Request</w:t>
      </w:r>
      <w:r>
        <w:rPr>
          <w:rFonts w:ascii="Times New Roman" w:hAnsi="Times New Roman" w:hint="default"/>
          <w:b w:val="1"/>
          <w:bCs w:val="1"/>
          <w:kern w:val="0"/>
          <w:sz w:val="32"/>
          <w:szCs w:val="32"/>
          <w:rtl w:val="0"/>
          <w:lang w:val="en-US"/>
        </w:rPr>
        <w:t> </w:t>
      </w:r>
    </w:p>
    <w:p>
      <w:pPr>
        <w:pStyle w:val="Body"/>
        <w:spacing w:after="0" w:line="240" w:lineRule="auto"/>
        <w:ind w:left="855" w:right="1050" w:firstLine="0"/>
        <w:jc w:val="center"/>
        <w:rPr>
          <w:rFonts w:ascii="Segoe UI" w:cs="Segoe UI" w:hAnsi="Segoe UI" w:eastAsia="Segoe UI"/>
          <w:b w:val="1"/>
          <w:bCs w:val="1"/>
          <w:kern w:val="0"/>
          <w:sz w:val="18"/>
          <w:szCs w:val="18"/>
        </w:rPr>
      </w:pPr>
      <w:r>
        <w:rPr>
          <w:rFonts w:ascii="Times New Roman" w:hAnsi="Times New Roman"/>
          <w:b w:val="1"/>
          <w:bCs w:val="1"/>
          <w:kern w:val="0"/>
          <w:sz w:val="32"/>
          <w:szCs w:val="32"/>
          <w:rtl w:val="0"/>
          <w:lang w:val="en-US"/>
        </w:rPr>
        <w:t>Modification of Existing Telecom Site</w:t>
      </w:r>
      <w:r>
        <w:rPr>
          <w:rFonts w:ascii="Times New Roman" w:hAnsi="Times New Roman" w:hint="default"/>
          <w:b w:val="1"/>
          <w:bCs w:val="1"/>
          <w:kern w:val="0"/>
          <w:sz w:val="32"/>
          <w:szCs w:val="32"/>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pacing w:after="0" w:line="240" w:lineRule="auto"/>
        <w:rPr>
          <w:rFonts w:ascii="Times New Roman" w:cs="Times New Roman" w:hAnsi="Times New Roman" w:eastAsia="Times New Roman"/>
          <w:kern w:val="0"/>
          <w:sz w:val="18"/>
          <w:szCs w:val="18"/>
        </w:rPr>
      </w:pPr>
      <w:r>
        <w:rPr>
          <w:rFonts w:ascii="Times New Roman" w:hAnsi="Times New Roman" w:hint="default"/>
          <w:kern w:val="0"/>
          <w:sz w:val="20"/>
          <w:szCs w:val="20"/>
          <w:rtl w:val="0"/>
          <w:lang w:val="en-US"/>
        </w:rPr>
        <w:t> </w:t>
      </w:r>
    </w:p>
    <w:p>
      <w:pPr>
        <w:pStyle w:val="Body"/>
        <w:spacing w:after="0" w:line="240" w:lineRule="auto"/>
        <w:rPr>
          <w:rFonts w:ascii="Times New Roman" w:cs="Times New Roman" w:hAnsi="Times New Roman" w:eastAsia="Times New Roman"/>
          <w:kern w:val="0"/>
          <w:sz w:val="18"/>
          <w:szCs w:val="18"/>
        </w:rPr>
      </w:pPr>
      <w:r>
        <w:rPr>
          <w:rFonts w:ascii="Times New Roman" w:hAnsi="Times New Roman"/>
          <w:kern w:val="0"/>
          <w:sz w:val="18"/>
          <w:szCs w:val="18"/>
          <w:rtl w:val="0"/>
          <w:lang w:val="en-US"/>
        </w:rPr>
        <w:t>May</w:t>
      </w:r>
      <w:r>
        <w:rPr>
          <w:rFonts w:ascii="Times New Roman" w:hAnsi="Times New Roman"/>
          <w:kern w:val="0"/>
          <w:sz w:val="20"/>
          <w:szCs w:val="20"/>
          <w:rtl w:val="0"/>
        </w:rPr>
        <w:t xml:space="preserve"> </w:t>
      </w:r>
      <w:r>
        <w:rPr>
          <w:rFonts w:ascii="Times New Roman" w:hAnsi="Times New Roman"/>
          <w:kern w:val="0"/>
          <w:sz w:val="20"/>
          <w:szCs w:val="20"/>
          <w:rtl w:val="0"/>
          <w:lang w:val="en-US"/>
        </w:rPr>
        <w:t>29</w:t>
      </w:r>
      <w:r>
        <w:rPr>
          <w:rFonts w:ascii="Times New Roman" w:hAnsi="Times New Roman"/>
          <w:kern w:val="0"/>
          <w:sz w:val="20"/>
          <w:szCs w:val="20"/>
          <w:rtl w:val="0"/>
          <w:lang w:val="en-US"/>
        </w:rPr>
        <w:t>th, 2025</w:t>
      </w:r>
      <w:r>
        <w:rPr>
          <w:rFonts w:ascii="Times New Roman" w:hAnsi="Times New Roman" w:hint="default"/>
          <w:kern w:val="0"/>
          <w:sz w:val="20"/>
          <w:szCs w:val="20"/>
          <w:rtl w:val="0"/>
          <w:lang w:val="en-US"/>
        </w:rPr>
        <w:t> </w:t>
      </w:r>
    </w:p>
    <w:p>
      <w:pPr>
        <w:pStyle w:val="Body"/>
        <w:spacing w:after="0" w:line="240" w:lineRule="auto"/>
        <w:rPr>
          <w:rFonts w:ascii="Times New Roman" w:cs="Times New Roman" w:hAnsi="Times New Roman" w:eastAsia="Times New Roman"/>
          <w:kern w:val="0"/>
          <w:sz w:val="18"/>
          <w:szCs w:val="18"/>
        </w:rPr>
      </w:pPr>
      <w:r>
        <w:rPr>
          <w:rFonts w:ascii="Times New Roman" w:hAnsi="Times New Roman" w:hint="default"/>
          <w:kern w:val="0"/>
          <w:sz w:val="20"/>
          <w:szCs w:val="20"/>
          <w:rtl w:val="0"/>
          <w:lang w:val="en-US"/>
        </w:rPr>
        <w:t> </w:t>
      </w:r>
    </w:p>
    <w:p>
      <w:pPr>
        <w:pStyle w:val="Default"/>
        <w:bidi w:val="0"/>
        <w:spacing w:before="0" w:line="240" w:lineRule="auto"/>
        <w:ind w:left="0" w:right="0" w:firstLine="0"/>
        <w:jc w:val="left"/>
        <w:rPr>
          <w:rFonts w:ascii="Times New Roman" w:cs="Times New Roman" w:hAnsi="Times New Roman" w:eastAsia="Times New Roman"/>
          <w:outline w:val="0"/>
          <w:color w:val="242424"/>
          <w:sz w:val="21"/>
          <w:szCs w:val="21"/>
          <w:shd w:val="clear" w:color="auto" w:fill="ffffff"/>
          <w:rtl w:val="0"/>
          <w14:textFill>
            <w14:solidFill>
              <w14:srgbClr w14:val="242424"/>
            </w14:solidFill>
          </w14:textFill>
        </w:rPr>
      </w:pPr>
      <w:r>
        <w:rPr>
          <w:rFonts w:ascii="Times New Roman" w:hAnsi="Times New Roman"/>
          <w:outline w:val="0"/>
          <w:color w:val="242424"/>
          <w:sz w:val="21"/>
          <w:szCs w:val="21"/>
          <w:shd w:val="clear" w:color="auto" w:fill="ffffff"/>
          <w:rtl w:val="0"/>
          <w:lang w:val="en-US"/>
          <w14:textFill>
            <w14:solidFill>
              <w14:srgbClr w14:val="242424"/>
            </w14:solidFill>
          </w14:textFill>
        </w:rPr>
        <w:t>El Paso County Planning and Community Development</w:t>
      </w:r>
    </w:p>
    <w:p>
      <w:pPr>
        <w:pStyle w:val="Default"/>
        <w:bidi w:val="0"/>
        <w:spacing w:before="0" w:line="240" w:lineRule="auto"/>
        <w:ind w:left="0" w:right="0" w:firstLine="0"/>
        <w:jc w:val="left"/>
        <w:rPr>
          <w:rFonts w:ascii="Times New Roman" w:cs="Times New Roman" w:hAnsi="Times New Roman" w:eastAsia="Times New Roman"/>
          <w:outline w:val="0"/>
          <w:color w:val="242424"/>
          <w:sz w:val="32"/>
          <w:szCs w:val="32"/>
          <w:shd w:val="clear" w:color="auto" w:fill="ffffff"/>
          <w:rtl w:val="0"/>
          <w14:textFill>
            <w14:solidFill>
              <w14:srgbClr w14:val="242424"/>
            </w14:solidFill>
          </w14:textFill>
        </w:rPr>
      </w:pPr>
      <w:r>
        <w:rPr>
          <w:rFonts w:ascii="Times New Roman" w:hAnsi="Times New Roman"/>
          <w:outline w:val="0"/>
          <w:color w:val="242424"/>
          <w:sz w:val="21"/>
          <w:szCs w:val="21"/>
          <w:shd w:val="clear" w:color="auto" w:fill="ffffff"/>
          <w:rtl w:val="0"/>
          <w:lang w:val="en-US"/>
          <w14:textFill>
            <w14:solidFill>
              <w14:srgbClr w14:val="242424"/>
            </w14:solidFill>
          </w14:textFill>
        </w:rPr>
        <w:t>2880 International Circle, Colorado Springs, CO, 80910</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2"/>
          <w:szCs w:val="22"/>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18"/>
          <w:szCs w:val="18"/>
          <w:rtl w:val="0"/>
          <w:lang w:val="en-US"/>
        </w:rPr>
        <w:t> </w:t>
      </w:r>
    </w:p>
    <w:p>
      <w:pPr>
        <w:pStyle w:val="Body"/>
        <w:spacing w:after="0" w:line="240" w:lineRule="auto"/>
        <w:ind w:left="135" w:firstLine="0"/>
        <w:rPr>
          <w:rFonts w:ascii="Segoe UI" w:cs="Segoe UI" w:hAnsi="Segoe UI" w:eastAsia="Segoe UI"/>
          <w:kern w:val="0"/>
          <w:sz w:val="18"/>
          <w:szCs w:val="18"/>
        </w:rPr>
      </w:pPr>
      <w:r>
        <w:rPr>
          <w:rFonts w:ascii="Times New Roman" w:hAnsi="Times New Roman"/>
          <w:b w:val="1"/>
          <w:bCs w:val="1"/>
          <w:kern w:val="0"/>
          <w:sz w:val="20"/>
          <w:szCs w:val="20"/>
          <w:rtl w:val="0"/>
        </w:rPr>
        <w:t>Re:</w:t>
      </w:r>
      <w:r>
        <w:rPr>
          <w:rFonts w:ascii="Calibri" w:cs="Calibri" w:hAnsi="Calibri" w:eastAsia="Calibri"/>
          <w:kern w:val="0"/>
          <w:sz w:val="20"/>
          <w:szCs w:val="20"/>
        </w:rPr>
        <w:tab/>
      </w:r>
      <w:r>
        <w:rPr>
          <w:rFonts w:ascii="Times New Roman" w:hAnsi="Times New Roman"/>
          <w:kern w:val="0"/>
          <w:sz w:val="20"/>
          <w:szCs w:val="20"/>
          <w:rtl w:val="0"/>
          <w:lang w:val="de-DE"/>
        </w:rPr>
        <w:t>Verizon Site:</w:t>
      </w:r>
      <w:r>
        <w:rPr>
          <w:rFonts w:ascii="Calibri" w:cs="Calibri" w:hAnsi="Calibri" w:eastAsia="Calibri"/>
          <w:kern w:val="0"/>
          <w:sz w:val="20"/>
          <w:szCs w:val="20"/>
        </w:rPr>
        <w:tab/>
      </w:r>
      <w:r>
        <w:rPr>
          <w:rFonts w:ascii="Times New Roman" w:hAnsi="Times New Roman"/>
          <w:b w:val="1"/>
          <w:bCs w:val="1"/>
          <w:kern w:val="0"/>
          <w:sz w:val="20"/>
          <w:szCs w:val="20"/>
          <w:rtl w:val="0"/>
          <w:lang w:val="en-US"/>
        </w:rPr>
        <w:t>CSP Shoup</w:t>
      </w:r>
      <w:r>
        <w:rPr>
          <w:rFonts w:ascii="Times New Roman" w:hAnsi="Times New Roman" w:hint="default"/>
          <w:kern w:val="0"/>
          <w:sz w:val="20"/>
          <w:szCs w:val="20"/>
          <w:rtl w:val="0"/>
          <w:lang w:val="en-US"/>
        </w:rPr>
        <w:t> </w:t>
      </w:r>
    </w:p>
    <w:p>
      <w:pPr>
        <w:pStyle w:val="Body"/>
        <w:spacing w:after="0" w:line="240" w:lineRule="auto"/>
        <w:ind w:left="855" w:firstLine="0"/>
        <w:rPr>
          <w:rFonts w:ascii="Times New Roman" w:cs="Times New Roman" w:hAnsi="Times New Roman" w:eastAsia="Times New Roman"/>
          <w:b w:val="1"/>
          <w:bCs w:val="1"/>
          <w:kern w:val="0"/>
          <w:sz w:val="20"/>
          <w:szCs w:val="20"/>
        </w:rPr>
      </w:pPr>
      <w:r>
        <w:rPr>
          <w:rFonts w:ascii="Times New Roman" w:hAnsi="Times New Roman"/>
          <w:kern w:val="0"/>
          <w:sz w:val="20"/>
          <w:szCs w:val="20"/>
          <w:rtl w:val="0"/>
          <w:lang w:val="en-US"/>
        </w:rPr>
        <w:t>Site location:</w:t>
      </w:r>
      <w:r>
        <w:rPr>
          <w:rFonts w:ascii="Calibri" w:cs="Calibri" w:hAnsi="Calibri" w:eastAsia="Calibri"/>
          <w:kern w:val="0"/>
          <w:sz w:val="20"/>
          <w:szCs w:val="20"/>
        </w:rPr>
        <w:tab/>
      </w:r>
      <w:r>
        <w:rPr>
          <w:rFonts w:ascii="Times New Roman" w:hAnsi="Times New Roman"/>
          <w:b w:val="1"/>
          <w:bCs w:val="1"/>
          <w:kern w:val="0"/>
          <w:sz w:val="20"/>
          <w:szCs w:val="20"/>
          <w:rtl w:val="0"/>
          <w:lang w:val="en-US"/>
        </w:rPr>
        <w:t>12440 Black Forest Road, Colorado Springs, CO 80908</w:t>
      </w:r>
    </w:p>
    <w:p>
      <w:pPr>
        <w:pStyle w:val="Body"/>
        <w:spacing w:after="0" w:line="240" w:lineRule="auto"/>
        <w:ind w:left="855" w:firstLine="0"/>
        <w:rPr>
          <w:rFonts w:ascii="Segoe UI" w:cs="Segoe UI" w:hAnsi="Segoe UI" w:eastAsia="Segoe UI"/>
          <w:b w:val="1"/>
          <w:bCs w:val="1"/>
          <w:kern w:val="0"/>
          <w:sz w:val="18"/>
          <w:szCs w:val="18"/>
        </w:rPr>
      </w:pPr>
      <w:r>
        <w:rPr>
          <w:rFonts w:ascii="Times New Roman" w:hAnsi="Times New Roman"/>
          <w:kern w:val="0"/>
          <w:sz w:val="20"/>
          <w:szCs w:val="20"/>
          <w:rtl w:val="0"/>
          <w:lang w:val="en-US"/>
        </w:rPr>
        <w:t>Project:</w:t>
      </w:r>
      <w:r>
        <w:rPr>
          <w:rFonts w:ascii="Calibri" w:cs="Calibri" w:hAnsi="Calibri" w:eastAsia="Calibri"/>
          <w:kern w:val="0"/>
          <w:sz w:val="20"/>
          <w:szCs w:val="20"/>
        </w:rPr>
        <w:tab/>
      </w:r>
      <w:r>
        <w:rPr>
          <w:rFonts w:ascii="Times New Roman" w:hAnsi="Times New Roman"/>
          <w:b w:val="1"/>
          <w:bCs w:val="1"/>
          <w:kern w:val="0"/>
          <w:sz w:val="20"/>
          <w:szCs w:val="20"/>
          <w:rtl w:val="0"/>
          <w:lang w:val="en-US"/>
        </w:rPr>
        <w:t>Equipment Modification to an existing Verizon Telecommunication Facility</w:t>
      </w:r>
      <w:r>
        <w:rPr>
          <w:rFonts w:ascii="Times New Roman" w:hAnsi="Times New Roman" w:hint="default"/>
          <w:b w:val="1"/>
          <w:bCs w:val="1"/>
          <w:kern w:val="0"/>
          <w:sz w:val="20"/>
          <w:szCs w:val="20"/>
          <w:rtl w:val="0"/>
          <w:lang w:val="en-US"/>
        </w:rPr>
        <w:t> </w:t>
      </w:r>
    </w:p>
    <w:p>
      <w:pPr>
        <w:pStyle w:val="Body"/>
        <w:spacing w:after="0" w:line="240" w:lineRule="auto"/>
        <w:ind w:left="855" w:firstLine="0"/>
        <w:rPr>
          <w:rFonts w:ascii="Segoe UI" w:cs="Segoe UI" w:hAnsi="Segoe UI" w:eastAsia="Segoe UI"/>
          <w:b w:val="1"/>
          <w:bCs w:val="1"/>
          <w:kern w:val="0"/>
          <w:sz w:val="18"/>
          <w:szCs w:val="18"/>
        </w:rPr>
      </w:pPr>
      <w:r>
        <w:rPr>
          <w:rFonts w:ascii="Times New Roman" w:hAnsi="Times New Roman"/>
          <w:kern w:val="0"/>
          <w:sz w:val="20"/>
          <w:szCs w:val="20"/>
          <w:rtl w:val="0"/>
          <w:lang w:val="it-IT"/>
        </w:rPr>
        <w:t>Approvals:</w:t>
      </w:r>
      <w:r>
        <w:rPr>
          <w:rFonts w:ascii="Calibri" w:cs="Calibri" w:hAnsi="Calibri" w:eastAsia="Calibri"/>
          <w:kern w:val="0"/>
          <w:sz w:val="20"/>
          <w:szCs w:val="20"/>
        </w:rPr>
        <w:tab/>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2"/>
          <w:szCs w:val="22"/>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18"/>
          <w:szCs w:val="18"/>
          <w:rtl w:val="0"/>
          <w:lang w:val="en-US"/>
        </w:rPr>
        <w:t> </w:t>
      </w:r>
    </w:p>
    <w:p>
      <w:pPr>
        <w:pStyle w:val="Body"/>
        <w:spacing w:after="0" w:line="240" w:lineRule="auto"/>
        <w:ind w:left="135" w:firstLine="0"/>
        <w:rPr>
          <w:rFonts w:ascii="Segoe UI" w:cs="Segoe UI" w:hAnsi="Segoe UI" w:eastAsia="Segoe UI"/>
          <w:kern w:val="0"/>
          <w:sz w:val="18"/>
          <w:szCs w:val="18"/>
        </w:rPr>
      </w:pPr>
      <w:r>
        <w:rPr>
          <w:rFonts w:ascii="Times New Roman" w:hAnsi="Times New Roman"/>
          <w:kern w:val="0"/>
          <w:sz w:val="20"/>
          <w:szCs w:val="20"/>
          <w:rtl w:val="0"/>
          <w:lang w:val="en-US"/>
        </w:rPr>
        <w:t>Dear Sir or Madam:</w:t>
      </w:r>
      <w:r>
        <w:rPr>
          <w:rFonts w:ascii="Times New Roman" w:hAnsi="Times New Roman" w:hint="default"/>
          <w:kern w:val="0"/>
          <w:sz w:val="20"/>
          <w:szCs w:val="20"/>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kern w:val="0"/>
          <w:sz w:val="20"/>
          <w:szCs w:val="20"/>
          <w:rtl w:val="0"/>
          <w:lang w:val="en-US"/>
        </w:rPr>
        <w:t xml:space="preserve">This is an existing Verizon telecommunication Facility </w:t>
      </w:r>
      <w:r>
        <w:rPr>
          <w:rFonts w:ascii="Times New Roman" w:hAnsi="Times New Roman"/>
          <w:kern w:val="0"/>
          <w:sz w:val="20"/>
          <w:szCs w:val="20"/>
          <w:rtl w:val="0"/>
          <w:lang w:val="en-US"/>
        </w:rPr>
        <w:t xml:space="preserve">that </w:t>
      </w:r>
      <w:r>
        <w:rPr>
          <w:rFonts w:ascii="Times New Roman" w:hAnsi="Times New Roman"/>
          <w:kern w:val="0"/>
          <w:sz w:val="20"/>
          <w:szCs w:val="20"/>
          <w:rtl w:val="0"/>
          <w:lang w:val="en-US"/>
        </w:rPr>
        <w:t xml:space="preserve">Verizon is looking to add </w:t>
      </w:r>
      <w:r>
        <w:rPr>
          <w:rFonts w:ascii="Times New Roman" w:hAnsi="Times New Roman"/>
          <w:kern w:val="0"/>
          <w:sz w:val="20"/>
          <w:szCs w:val="20"/>
          <w:rtl w:val="0"/>
          <w:lang w:val="en-US"/>
        </w:rPr>
        <w:t>2</w:t>
      </w:r>
      <w:r>
        <w:rPr>
          <w:rFonts w:ascii="Times New Roman" w:hAnsi="Times New Roman"/>
          <w:kern w:val="0"/>
          <w:sz w:val="20"/>
          <w:szCs w:val="20"/>
          <w:rtl w:val="0"/>
          <w:lang w:val="en-US"/>
        </w:rPr>
        <w:t xml:space="preserve"> microwave antennas to the shelter no work is to be done on the tower.</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Applicant:</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de-DE"/>
        </w:rPr>
        <w:t>Verizon Wireless</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da-DK"/>
        </w:rPr>
        <w:t>10000 PARK MEADOWS DR,</w:t>
      </w:r>
      <w:r>
        <w:rPr>
          <w:rFonts w:ascii="Times New Roman" w:hAnsi="Times New Roman" w:hint="default"/>
          <w:sz w:val="22"/>
          <w:szCs w:val="22"/>
          <w:shd w:val="clear" w:color="auto" w:fill="ffffff"/>
          <w:rtl w:val="0"/>
        </w:rPr>
        <w:t> </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r>
        <w:rPr>
          <w:rFonts w:ascii="Times New Roman" w:hAnsi="Times New Roman"/>
          <w:sz w:val="22"/>
          <w:szCs w:val="22"/>
          <w:shd w:val="clear" w:color="auto" w:fill="ffffff"/>
          <w:rtl w:val="0"/>
          <w:lang w:val="en-US"/>
        </w:rPr>
        <w:t>SUITE 300 LONE TREE, CO 80124</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en-US"/>
        </w:rPr>
        <w:t xml:space="preserve">MODIFICATION OF EXISTING VERIZON WIRELESS (VZW) TELECOMMUNICATIONS SITE CONSISTS OF: </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de-DE"/>
        </w:rPr>
        <w:t>SCOPE OF WORK AT SHELTER:</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de-DE"/>
        </w:rPr>
        <w:t>-INSTALL (X2) RADIO LINK, ERICSSON MINI-LINK 6651</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en-US"/>
        </w:rPr>
        <w:t>-INSTALL (X1) REMOTE RADIO UNIT, ERICSSON RMU</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en-US"/>
        </w:rPr>
        <w:t>-INSTALL (X1) TEMPERATURE SENSOR</w:t>
      </w:r>
      <w:r>
        <w:rPr>
          <w:rFonts w:ascii="Times New Roman" w:hAnsi="Times New Roman" w:hint="default"/>
          <w:sz w:val="20"/>
          <w:szCs w:val="20"/>
          <w:shd w:val="clear" w:color="auto" w:fill="ffffff"/>
          <w:rtl w:val="0"/>
        </w:rPr>
        <w:t> </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en-US"/>
        </w:rPr>
        <w:t>SCOPE OF WORK AT ROOF:</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en-US"/>
        </w:rPr>
        <w:t>-INSTALL (X2) MICROWAVE ANTENNAS, ERICSSON BFZ62251/3S09H</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de-DE"/>
        </w:rPr>
        <w:t>-INSTALL (X2) RADIOS, ERICSSON MINI-LINK 6366</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en-US"/>
        </w:rPr>
        <w:t>-INSTALL (X2) ANTENNA MOUNTS, ERICSSON NTK 301 1205/1</w:t>
      </w:r>
    </w:p>
    <w:p>
      <w:pPr>
        <w:pStyle w:val="Default"/>
        <w:bidi w:val="0"/>
        <w:spacing w:before="0" w:line="240" w:lineRule="auto"/>
        <w:ind w:left="0" w:right="0" w:firstLine="0"/>
        <w:jc w:val="left"/>
        <w:rPr>
          <w:rFonts w:ascii="Times New Roman" w:cs="Times New Roman" w:hAnsi="Times New Roman" w:eastAsia="Times New Roman"/>
          <w:sz w:val="20"/>
          <w:szCs w:val="20"/>
          <w:shd w:val="clear" w:color="auto" w:fill="ffffff"/>
          <w:rtl w:val="0"/>
        </w:rPr>
      </w:pPr>
      <w:r>
        <w:rPr>
          <w:rFonts w:ascii="Times New Roman" w:hAnsi="Times New Roman"/>
          <w:sz w:val="20"/>
          <w:szCs w:val="20"/>
          <w:shd w:val="clear" w:color="auto" w:fill="ffffff"/>
          <w:rtl w:val="0"/>
          <w:lang w:val="de-DE"/>
        </w:rPr>
        <w:t>-INSTALL (N) CONDUIT and (N) NON-PENETRATING CONDUIT MOUNTS</w:t>
      </w:r>
    </w:p>
    <w:p>
      <w:pPr>
        <w:pStyle w:val="Default"/>
        <w:bidi w:val="0"/>
        <w:spacing w:before="0" w:line="240" w:lineRule="auto"/>
        <w:ind w:left="0" w:right="0" w:firstLine="0"/>
        <w:jc w:val="left"/>
        <w:rPr>
          <w:rFonts w:ascii="Times New Roman" w:cs="Times New Roman" w:hAnsi="Times New Roman" w:eastAsia="Times New Roman"/>
          <w:sz w:val="22"/>
          <w:szCs w:val="22"/>
          <w:shd w:val="clear" w:color="auto" w:fill="ffffff"/>
          <w:rtl w:val="0"/>
        </w:rPr>
      </w:pPr>
    </w:p>
    <w:p>
      <w:pPr>
        <w:pStyle w:val="Body"/>
        <w:spacing w:after="0" w:line="240" w:lineRule="auto"/>
        <w:rPr>
          <w:rFonts w:ascii="Segoe UI" w:cs="Segoe UI" w:hAnsi="Segoe UI" w:eastAsia="Segoe UI"/>
          <w:kern w:val="0"/>
          <w:sz w:val="18"/>
          <w:szCs w:val="18"/>
        </w:rPr>
      </w:pPr>
    </w:p>
    <w:p>
      <w:pPr>
        <w:pStyle w:val="Body"/>
        <w:spacing w:after="0" w:line="240" w:lineRule="auto"/>
        <w:ind w:left="135" w:firstLine="0"/>
        <w:rPr>
          <w:rFonts w:ascii="Segoe UI" w:cs="Segoe UI" w:hAnsi="Segoe UI" w:eastAsia="Segoe UI"/>
          <w:kern w:val="0"/>
          <w:sz w:val="18"/>
          <w:szCs w:val="18"/>
        </w:rPr>
      </w:pPr>
      <w:r>
        <w:rPr>
          <w:rFonts w:ascii="Times New Roman" w:hAnsi="Times New Roman"/>
          <w:kern w:val="0"/>
          <w:sz w:val="20"/>
          <w:szCs w:val="20"/>
          <w:rtl w:val="0"/>
          <w:lang w:val="en-US"/>
        </w:rPr>
        <w:t>All of the work will be done within the leased area.</w:t>
      </w:r>
      <w:r>
        <w:rPr>
          <w:rFonts w:ascii="Times New Roman" w:hAnsi="Times New Roman" w:hint="default"/>
          <w:kern w:val="0"/>
          <w:sz w:val="20"/>
          <w:szCs w:val="20"/>
          <w:rtl w:val="0"/>
          <w:lang w:val="en-US"/>
        </w:rPr>
        <w:t> </w:t>
      </w:r>
    </w:p>
    <w:p>
      <w:pPr>
        <w:pStyle w:val="Body"/>
        <w:spacing w:after="0" w:line="240" w:lineRule="auto"/>
        <w:rPr>
          <w:rFonts w:ascii="Segoe UI" w:cs="Segoe UI" w:hAnsi="Segoe UI" w:eastAsia="Segoe UI"/>
          <w:kern w:val="0"/>
          <w:sz w:val="18"/>
          <w:szCs w:val="18"/>
        </w:rPr>
      </w:pPr>
      <w:r>
        <w:rPr>
          <w:rFonts w:ascii="Times New Roman" w:hAnsi="Times New Roman" w:hint="default"/>
          <w:kern w:val="0"/>
          <w:sz w:val="19"/>
          <w:szCs w:val="19"/>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kern w:val="0"/>
          <w:sz w:val="20"/>
          <w:szCs w:val="20"/>
          <w:rtl w:val="0"/>
          <w:lang w:val="en-US"/>
        </w:rPr>
        <w:t>Please feel free to contact me if you have any questions regarding this project.</w:t>
      </w: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kern w:val="0"/>
          <w:sz w:val="20"/>
          <w:szCs w:val="20"/>
          <w:rtl w:val="0"/>
          <w:lang w:val="en-US"/>
        </w:rPr>
        <w:t>Thank you,</w:t>
      </w: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pacing w:after="0" w:line="240" w:lineRule="auto"/>
        <w:ind w:left="135" w:right="180" w:firstLine="0"/>
        <w:rPr>
          <w:rFonts w:ascii="Segoe UI" w:cs="Segoe UI" w:hAnsi="Segoe UI" w:eastAsia="Segoe UI"/>
          <w:kern w:val="0"/>
          <w:sz w:val="18"/>
          <w:szCs w:val="18"/>
        </w:rPr>
      </w:pPr>
      <w:r>
        <w:rPr>
          <w:rFonts w:ascii="Times New Roman" w:hAnsi="Times New Roman" w:hint="default"/>
          <w:kern w:val="0"/>
          <w:sz w:val="20"/>
          <w:szCs w:val="20"/>
          <w:rtl w:val="0"/>
          <w:lang w:val="en-US"/>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b w:val="1"/>
          <w:bCs w:val="1"/>
          <w:outline w:val="0"/>
          <w:color w:val="000000"/>
          <w:kern w:val="0"/>
          <w:sz w:val="22"/>
          <w:szCs w:val="22"/>
          <w:u w:color="000000"/>
          <w:rtl w:val="0"/>
          <w:lang w:val="da-DK"/>
          <w14:textFill>
            <w14:solidFill>
              <w14:srgbClr w14:val="000000"/>
            </w14:solidFill>
          </w14:textFill>
        </w:rPr>
        <w:t>Jen Daniels</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lang w:val="it-IT"/>
          <w14:textFill>
            <w14:solidFill>
              <w14:srgbClr w14:val="000000"/>
            </w14:solidFill>
          </w14:textFill>
        </w:rPr>
        <w:t>Site Acquisition</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lang w:val="en-US"/>
          <w14:textFill>
            <w14:solidFill>
              <w14:srgbClr w14:val="000000"/>
            </w14:solidFill>
          </w14:textFill>
        </w:rPr>
        <w:t>Project Manager</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14:textFill>
            <w14:solidFill>
              <w14:srgbClr w14:val="000000"/>
            </w14:solidFill>
          </w14:textFill>
        </w:rPr>
        <w:t>1065 Poplar Street</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lang w:val="en-US"/>
          <w14:textFill>
            <w14:solidFill>
              <w14:srgbClr w14:val="000000"/>
            </w14:solidFill>
          </w14:textFill>
        </w:rPr>
        <w:t>Johnstown, CO 80534</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Fonts w:ascii="Segoe UI" w:cs="Segoe UI" w:hAnsi="Segoe UI" w:eastAsia="Segoe UI"/>
          <w:kern w:val="0"/>
          <w:sz w:val="18"/>
          <w:szCs w:val="18"/>
        </w:rPr>
      </w:pPr>
      <w:r>
        <w:rPr>
          <w:rFonts w:ascii="Calibri" w:hAnsi="Calibri"/>
          <w:outline w:val="0"/>
          <w:color w:val="000000"/>
          <w:kern w:val="0"/>
          <w:sz w:val="22"/>
          <w:szCs w:val="22"/>
          <w:u w:color="000000"/>
          <w:rtl w:val="0"/>
          <w14:textFill>
            <w14:solidFill>
              <w14:srgbClr w14:val="000000"/>
            </w14:solidFill>
          </w14:textFill>
        </w:rPr>
        <w:t>303-550-4820</w:t>
      </w:r>
      <w:r>
        <w:rPr>
          <w:rFonts w:ascii="Calibri" w:hAnsi="Calibri" w:hint="default"/>
          <w:outline w:val="0"/>
          <w:color w:val="000000"/>
          <w:kern w:val="0"/>
          <w:sz w:val="22"/>
          <w:szCs w:val="22"/>
          <w:u w:color="000000"/>
          <w:rtl w:val="0"/>
          <w:lang w:val="en-US"/>
          <w14:textFill>
            <w14:solidFill>
              <w14:srgbClr w14:val="000000"/>
            </w14:solidFill>
          </w14:textFill>
        </w:rPr>
        <w:t> </w:t>
      </w:r>
    </w:p>
    <w:p>
      <w:pPr>
        <w:pStyle w:val="Body"/>
        <w:shd w:val="clear" w:color="auto" w:fill="ffffff"/>
        <w:spacing w:after="0" w:line="240" w:lineRule="auto"/>
        <w:rPr>
          <w:rStyle w:val="None"/>
          <w:rFonts w:ascii="Segoe UI" w:cs="Segoe UI" w:hAnsi="Segoe UI" w:eastAsia="Segoe UI"/>
          <w:kern w:val="0"/>
          <w:sz w:val="18"/>
          <w:szCs w:val="18"/>
          <w:lang w:val="en-US"/>
        </w:rPr>
      </w:pPr>
      <w:r>
        <w:rPr>
          <w:rStyle w:val="Hyperlink.0"/>
        </w:rPr>
        <w:fldChar w:fldCharType="begin" w:fldLock="0"/>
      </w:r>
      <w:r>
        <w:rPr>
          <w:rStyle w:val="Hyperlink.0"/>
        </w:rPr>
        <w:instrText xml:space="preserve"> HYPERLINK "mailto:jdaniels@totalsiteservicesinc.com"</w:instrText>
      </w:r>
      <w:r>
        <w:rPr>
          <w:rStyle w:val="Hyperlink.0"/>
        </w:rPr>
        <w:fldChar w:fldCharType="separate" w:fldLock="0"/>
      </w:r>
      <w:r>
        <w:rPr>
          <w:rStyle w:val="Hyperlink.0"/>
          <w:rtl w:val="0"/>
          <w:lang w:val="it-IT"/>
        </w:rPr>
        <w:t>jdaniels@totalsiteservicesinc.com</w:t>
      </w:r>
      <w:r>
        <w:rPr/>
        <w:fldChar w:fldCharType="end" w:fldLock="0"/>
      </w:r>
      <w:r>
        <w:rPr>
          <w:rStyle w:val="None"/>
          <w:rFonts w:ascii="Times New Roman" w:hAnsi="Times New Roman" w:hint="default"/>
          <w:kern w:val="0"/>
          <w:sz w:val="22"/>
          <w:szCs w:val="22"/>
          <w:rtl w:val="0"/>
          <w:lang w:val="en-US"/>
        </w:rPr>
        <w:t> </w:t>
      </w:r>
    </w:p>
    <w:p>
      <w:pPr>
        <w:pStyle w:val="Body"/>
        <w:shd w:val="clear" w:color="auto" w:fill="ffffff"/>
        <w:spacing w:after="0" w:line="240" w:lineRule="auto"/>
        <w:rPr>
          <w:rStyle w:val="None"/>
          <w:rFonts w:ascii="Segoe UI" w:cs="Segoe UI" w:hAnsi="Segoe UI" w:eastAsia="Segoe UI"/>
          <w:b w:val="1"/>
          <w:bCs w:val="1"/>
          <w:kern w:val="0"/>
          <w:sz w:val="18"/>
          <w:szCs w:val="18"/>
        </w:rPr>
      </w:pPr>
      <w:r>
        <w:rPr>
          <w:rStyle w:val="None"/>
          <w:rFonts w:ascii="Times New Roman" w:hAnsi="Times New Roman"/>
          <w:b w:val="1"/>
          <w:bCs w:val="1"/>
          <w:kern w:val="0"/>
          <w:rtl w:val="0"/>
          <w:lang w:val="en-US"/>
        </w:rPr>
        <w:t>FCC Rules for Eligible Facilities Requests</w:t>
      </w:r>
      <w:r>
        <w:rPr>
          <w:rStyle w:val="None"/>
          <w:rFonts w:ascii="Times New Roman" w:hAnsi="Times New Roman" w:hint="default"/>
          <w:b w:val="1"/>
          <w:bCs w:val="1"/>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right="120"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 xml:space="preserve">The Spectrum Act states that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a State or local government may not deny, and shall approve, any eligible facilities request for a modification of an existing wireless tower or base station that does not substantially change the physical dimensions of such tower or base station.</w:t>
      </w:r>
      <w:r>
        <w:rPr>
          <w:rStyle w:val="None"/>
          <w:rFonts w:ascii="Times New Roman" w:hAnsi="Times New Roman" w:hint="default"/>
          <w:kern w:val="0"/>
          <w:sz w:val="20"/>
          <w:szCs w:val="20"/>
          <w:rtl w:val="0"/>
          <w:lang w:val="en-US"/>
        </w:rPr>
        <w:t>”</w:t>
      </w:r>
      <w:r>
        <w:rPr>
          <w:rStyle w:val="None"/>
          <w:rFonts w:ascii="Times New Roman" w:hAnsi="Times New Roman"/>
          <w:kern w:val="0"/>
          <w:sz w:val="16"/>
          <w:szCs w:val="16"/>
          <w:vertAlign w:val="superscript"/>
          <w:rtl w:val="0"/>
        </w:rPr>
        <w:t>1</w:t>
      </w:r>
      <w:r>
        <w:rPr>
          <w:rStyle w:val="None"/>
          <w:rFonts w:ascii="Times New Roman" w:hAnsi="Times New Roman"/>
          <w:kern w:val="0"/>
          <w:sz w:val="20"/>
          <w:szCs w:val="20"/>
          <w:rtl w:val="0"/>
        </w:rPr>
        <w:t xml:space="preserve"> An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eligible facilities request</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is defined to include any collocation, removal, or replacement of existing equipment.</w:t>
      </w:r>
      <w:r>
        <w:rPr>
          <w:rStyle w:val="None"/>
          <w:rFonts w:ascii="Times New Roman" w:hAnsi="Times New Roman"/>
          <w:kern w:val="0"/>
          <w:sz w:val="16"/>
          <w:szCs w:val="16"/>
          <w:vertAlign w:val="superscript"/>
          <w:rtl w:val="0"/>
        </w:rPr>
        <w:t>2</w:t>
      </w:r>
      <w:r>
        <w:rPr>
          <w:rStyle w:val="None"/>
          <w:rFonts w:ascii="Times New Roman" w:hAnsi="Times New Roman" w:hint="default"/>
          <w:kern w:val="0"/>
          <w:sz w:val="16"/>
          <w:szCs w:val="16"/>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right="75"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 xml:space="preserve">The FCC adopted rules providing legally binding guidance on key terms of the Spectrum Act, notably defining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substantial change</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with the six thresholds described below.</w:t>
      </w:r>
      <w:r>
        <w:rPr>
          <w:rStyle w:val="None"/>
          <w:rFonts w:ascii="Times New Roman" w:hAnsi="Times New Roman"/>
          <w:kern w:val="0"/>
          <w:sz w:val="16"/>
          <w:szCs w:val="16"/>
          <w:vertAlign w:val="superscript"/>
          <w:rtl w:val="0"/>
        </w:rPr>
        <w:t>3</w:t>
      </w:r>
      <w:r>
        <w:rPr>
          <w:rStyle w:val="None"/>
          <w:rFonts w:ascii="Times New Roman" w:hAnsi="Times New Roman"/>
          <w:kern w:val="0"/>
          <w:sz w:val="20"/>
          <w:szCs w:val="20"/>
          <w:rtl w:val="0"/>
          <w:lang w:val="en-US"/>
        </w:rPr>
        <w:t xml:space="preserve"> The FCC requires that qualifying eligible facilities requests be approved within 60 days, subject to tolling for incompleteness.</w:t>
      </w:r>
      <w:r>
        <w:rPr>
          <w:rStyle w:val="None"/>
          <w:rFonts w:ascii="Times New Roman" w:hAnsi="Times New Roman"/>
          <w:kern w:val="0"/>
          <w:sz w:val="16"/>
          <w:szCs w:val="16"/>
          <w:vertAlign w:val="superscript"/>
          <w:rtl w:val="0"/>
        </w:rPr>
        <w:t>4</w:t>
      </w:r>
      <w:r>
        <w:rPr>
          <w:rStyle w:val="None"/>
          <w:rFonts w:ascii="Times New Roman" w:hAnsi="Times New Roman"/>
          <w:kern w:val="0"/>
          <w:sz w:val="20"/>
          <w:szCs w:val="20"/>
          <w:rtl w:val="0"/>
          <w:lang w:val="en-US"/>
        </w:rPr>
        <w:t xml:space="preserve"> The 60-day period begins when an applicant takes the first procedural step required by a local government, and submits written documentation.</w:t>
      </w:r>
      <w:r>
        <w:rPr>
          <w:rStyle w:val="None"/>
          <w:rFonts w:ascii="Times New Roman" w:hAnsi="Times New Roman"/>
          <w:kern w:val="0"/>
          <w:sz w:val="16"/>
          <w:szCs w:val="16"/>
          <w:vertAlign w:val="superscript"/>
          <w:rtl w:val="0"/>
        </w:rPr>
        <w:t>5</w:t>
      </w:r>
      <w:r>
        <w:rPr>
          <w:rStyle w:val="None"/>
          <w:rFonts w:ascii="Times New Roman" w:hAnsi="Times New Roman"/>
          <w:kern w:val="0"/>
          <w:sz w:val="20"/>
          <w:szCs w:val="20"/>
          <w:rtl w:val="0"/>
          <w:lang w:val="en-US"/>
        </w:rPr>
        <w:t xml:space="preserve"> The only submittal documents a local government can require are those relevant to determining if a proposed modification qualifies as an eligible facilities request.</w:t>
      </w:r>
      <w:r>
        <w:rPr>
          <w:rStyle w:val="None"/>
          <w:rFonts w:ascii="Times New Roman" w:hAnsi="Times New Roman"/>
          <w:kern w:val="0"/>
          <w:sz w:val="16"/>
          <w:szCs w:val="16"/>
          <w:vertAlign w:val="superscript"/>
          <w:rtl w:val="0"/>
        </w:rPr>
        <w:t>6</w:t>
      </w:r>
      <w:r>
        <w:rPr>
          <w:rStyle w:val="None"/>
          <w:rFonts w:ascii="Times New Roman" w:hAnsi="Times New Roman"/>
          <w:kern w:val="0"/>
          <w:sz w:val="20"/>
          <w:szCs w:val="20"/>
          <w:rtl w:val="0"/>
          <w:lang w:val="en-US"/>
        </w:rPr>
        <w:t xml:space="preserve"> If a local government does not render a decision within the 60-day period, an eligible facilities request can be deemed granted by operation of law.</w:t>
      </w:r>
      <w:r>
        <w:rPr>
          <w:rStyle w:val="None"/>
          <w:rFonts w:ascii="Times New Roman" w:hAnsi="Times New Roman"/>
          <w:kern w:val="0"/>
          <w:sz w:val="16"/>
          <w:szCs w:val="16"/>
          <w:vertAlign w:val="superscript"/>
          <w:rtl w:val="0"/>
        </w:rPr>
        <w:t>7</w:t>
      </w:r>
      <w:r>
        <w:rPr>
          <w:rStyle w:val="None"/>
          <w:rFonts w:ascii="Times New Roman" w:hAnsi="Times New Roman" w:hint="default"/>
          <w:kern w:val="0"/>
          <w:sz w:val="16"/>
          <w:szCs w:val="16"/>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b w:val="1"/>
          <w:bCs w:val="1"/>
          <w:kern w:val="0"/>
          <w:sz w:val="18"/>
          <w:szCs w:val="18"/>
        </w:rPr>
      </w:pPr>
      <w:r>
        <w:rPr>
          <w:rStyle w:val="None"/>
          <w:rFonts w:ascii="Times New Roman" w:hAnsi="Times New Roman"/>
          <w:b w:val="1"/>
          <w:bCs w:val="1"/>
          <w:kern w:val="0"/>
          <w:rtl w:val="0"/>
          <w:lang w:val="en-US"/>
        </w:rPr>
        <w:t xml:space="preserve">The Proposed Modification Does Not Constitute a </w:t>
      </w:r>
      <w:r>
        <w:rPr>
          <w:rStyle w:val="None"/>
          <w:rFonts w:ascii="Times New Roman" w:hAnsi="Times New Roman" w:hint="default"/>
          <w:b w:val="1"/>
          <w:bCs w:val="1"/>
          <w:kern w:val="0"/>
          <w:rtl w:val="0"/>
          <w:lang w:val="en-US"/>
        </w:rPr>
        <w:t>“</w:t>
      </w:r>
      <w:r>
        <w:rPr>
          <w:rStyle w:val="None"/>
          <w:rFonts w:ascii="Times New Roman" w:hAnsi="Times New Roman"/>
          <w:b w:val="1"/>
          <w:bCs w:val="1"/>
          <w:kern w:val="0"/>
          <w:rtl w:val="0"/>
          <w:lang w:val="en-US"/>
        </w:rPr>
        <w:t>Substantial Change</w:t>
      </w:r>
      <w:r>
        <w:rPr>
          <w:rStyle w:val="None"/>
          <w:rFonts w:ascii="Times New Roman" w:hAnsi="Times New Roman" w:hint="default"/>
          <w:b w:val="1"/>
          <w:bCs w:val="1"/>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right="165"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Below are the FCC</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 xml:space="preserve">s six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substantial change</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thresholds for a wireless base station,</w:t>
      </w:r>
      <w:r>
        <w:rPr>
          <w:rStyle w:val="None"/>
          <w:rFonts w:ascii="Times New Roman" w:hAnsi="Times New Roman"/>
          <w:kern w:val="0"/>
          <w:sz w:val="16"/>
          <w:szCs w:val="16"/>
          <w:vertAlign w:val="superscript"/>
          <w:rtl w:val="0"/>
        </w:rPr>
        <w:t>8</w:t>
      </w:r>
      <w:r>
        <w:rPr>
          <w:rStyle w:val="None"/>
          <w:rFonts w:ascii="Times New Roman" w:hAnsi="Times New Roman"/>
          <w:kern w:val="0"/>
          <w:sz w:val="20"/>
          <w:szCs w:val="20"/>
          <w:rtl w:val="0"/>
          <w:lang w:val="en-US"/>
        </w:rPr>
        <w:t xml:space="preserve"> each followed by an explanation that the proposed modification does not exceed that threshold.</w:t>
      </w:r>
      <w:r>
        <w:rPr>
          <w:rStyle w:val="None"/>
          <w:rFonts w:ascii="Times New Roman" w:hAnsi="Times New Roman" w:hint="default"/>
          <w:kern w:val="0"/>
          <w:sz w:val="20"/>
          <w:szCs w:val="2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numPr>
          <w:ilvl w:val="0"/>
          <w:numId w:val="2"/>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It increases the height of the structure by more than 10% or more than ten feet, whichever is greater.</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right="930"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 xml:space="preserve">The height of the </w:t>
      </w:r>
      <w:r>
        <w:rPr>
          <w:rStyle w:val="None"/>
          <w:rFonts w:ascii="Times New Roman" w:hAnsi="Times New Roman"/>
          <w:i w:val="1"/>
          <w:iCs w:val="1"/>
          <w:kern w:val="0"/>
          <w:rtl w:val="0"/>
          <w:lang w:val="en-US"/>
        </w:rPr>
        <w:t xml:space="preserve">tower </w:t>
      </w:r>
      <w:r>
        <w:rPr>
          <w:rStyle w:val="None"/>
          <w:rFonts w:ascii="Times New Roman" w:hAnsi="Times New Roman"/>
          <w:i w:val="1"/>
          <w:iCs w:val="1"/>
          <w:kern w:val="0"/>
          <w:rtl w:val="0"/>
          <w:lang w:val="en-US"/>
        </w:rPr>
        <w:t>structure is not changing.</w:t>
      </w:r>
      <w:r>
        <w:rPr>
          <w:rStyle w:val="None"/>
          <w:rFonts w:ascii="Times New Roman" w:hAnsi="Times New Roman" w:hint="default"/>
          <w:i w:val="1"/>
          <w:iCs w:val="1"/>
          <w:kern w:val="0"/>
          <w:rtl w:val="0"/>
          <w:lang w:val="en-US"/>
        </w:rPr>
        <w:t> </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numPr>
          <w:ilvl w:val="0"/>
          <w:numId w:val="5"/>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It involves adding an appurtenance to the body of the structure that would protrude from the edge of the structure by more than six feet.</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855"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The antenna will not protrude more than 6 feet from the edge of structure.</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rtl w:val="0"/>
          <w:lang w:val="en-US"/>
        </w:rPr>
        <w:t> </w:t>
      </w:r>
    </w:p>
    <w:p>
      <w:pPr>
        <w:pStyle w:val="Body"/>
        <w:numPr>
          <w:ilvl w:val="0"/>
          <w:numId w:val="8"/>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It involves the installation of more than the standard number of new equipment cabinets for the technology involved, but not to exceed four; or, it involves installation of any new equipment cabinets on the ground if there are no pre-existing ground cabinets associated with the structure, or else involves installation of ground cabinets that are more than 10% larger in height or overall volume than any other ground cabinets associated with the structure.</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right="855" w:firstLine="0"/>
        <w:rPr>
          <w:rStyle w:val="None"/>
          <w:rFonts w:ascii="Segoe UI" w:cs="Segoe UI" w:hAnsi="Segoe UI" w:eastAsia="Segoe UI"/>
          <w:kern w:val="0"/>
          <w:sz w:val="18"/>
          <w:szCs w:val="18"/>
        </w:rPr>
      </w:pPr>
      <w:r>
        <w:rPr>
          <w:rStyle w:val="None"/>
          <w:rFonts w:ascii="Times New Roman" w:hAnsi="Times New Roman"/>
          <w:i w:val="1"/>
          <w:iCs w:val="1"/>
          <w:kern w:val="0"/>
          <w:rtl w:val="0"/>
        </w:rPr>
        <w:t>N</w:t>
      </w:r>
      <w:r>
        <w:rPr>
          <w:rStyle w:val="None"/>
          <w:rFonts w:ascii="Times New Roman" w:hAnsi="Times New Roman"/>
          <w:i w:val="1"/>
          <w:iCs w:val="1"/>
          <w:kern w:val="0"/>
          <w:rtl w:val="0"/>
          <w:lang w:val="en-US"/>
        </w:rPr>
        <w:t>o n</w:t>
      </w:r>
      <w:r>
        <w:rPr>
          <w:rStyle w:val="None"/>
          <w:rFonts w:ascii="Times New Roman" w:hAnsi="Times New Roman"/>
          <w:i w:val="1"/>
          <w:iCs w:val="1"/>
          <w:kern w:val="0"/>
          <w:rtl w:val="0"/>
          <w:lang w:val="en-US"/>
        </w:rPr>
        <w:t xml:space="preserve">ew </w:t>
      </w:r>
      <w:r>
        <w:rPr>
          <w:rStyle w:val="None"/>
          <w:rFonts w:ascii="Times New Roman" w:hAnsi="Times New Roman"/>
          <w:i w:val="1"/>
          <w:iCs w:val="1"/>
          <w:kern w:val="0"/>
          <w:rtl w:val="0"/>
          <w:lang w:val="en-US"/>
        </w:rPr>
        <w:t>equipment</w:t>
      </w:r>
      <w:r>
        <w:rPr>
          <w:rStyle w:val="None"/>
          <w:rFonts w:ascii="Times New Roman" w:hAnsi="Times New Roman"/>
          <w:i w:val="1"/>
          <w:iCs w:val="1"/>
          <w:kern w:val="0"/>
          <w:rtl w:val="0"/>
          <w:lang w:val="pt-PT"/>
        </w:rPr>
        <w:t xml:space="preserve"> cabinet</w:t>
      </w:r>
      <w:r>
        <w:rPr>
          <w:rStyle w:val="None"/>
          <w:rFonts w:ascii="Times New Roman" w:hAnsi="Times New Roman"/>
          <w:i w:val="1"/>
          <w:iCs w:val="1"/>
          <w:kern w:val="0"/>
          <w:rtl w:val="0"/>
          <w:lang w:val="en-US"/>
        </w:rPr>
        <w:t>s</w:t>
      </w:r>
      <w:r>
        <w:rPr>
          <w:rStyle w:val="None"/>
          <w:rFonts w:ascii="Times New Roman" w:hAnsi="Times New Roman"/>
          <w:i w:val="1"/>
          <w:iCs w:val="1"/>
          <w:kern w:val="0"/>
          <w:rtl w:val="0"/>
          <w:lang w:val="en-US"/>
        </w:rPr>
        <w:t xml:space="preserve"> installed</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right="1425"/>
        <w:rPr>
          <w:rStyle w:val="None"/>
          <w:rFonts w:ascii="Segoe UI" w:cs="Segoe UI" w:hAnsi="Segoe UI" w:eastAsia="Segoe UI"/>
          <w:kern w:val="0"/>
          <w:sz w:val="18"/>
          <w:szCs w:val="18"/>
        </w:rPr>
      </w:pPr>
      <w:r>
        <w:rPr>
          <w:rStyle w:val="None"/>
          <w:rFonts w:ascii="Times New Roman" w:hAnsi="Times New Roman" w:hint="default"/>
          <w:kern w:val="0"/>
          <w:rtl w:val="0"/>
          <w:lang w:val="en-US"/>
        </w:rPr>
        <w:t> </w:t>
      </w:r>
    </w:p>
    <w:p>
      <w:pPr>
        <w:pStyle w:val="Body"/>
        <w:numPr>
          <w:ilvl w:val="0"/>
          <w:numId w:val="11"/>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It entails any excavation or deployment outside the current site within 30</w:t>
      </w:r>
      <w:r>
        <w:rPr>
          <w:rStyle w:val="None"/>
          <w:rFonts w:ascii="Times New Roman" w:hAnsi="Times New Roman" w:hint="default"/>
          <w:kern w:val="0"/>
          <w:rtl w:val="0"/>
          <w:lang w:val="en-US"/>
        </w:rPr>
        <w:t xml:space="preserve">’ </w:t>
      </w:r>
      <w:r>
        <w:rPr>
          <w:rStyle w:val="None"/>
          <w:rFonts w:ascii="Times New Roman" w:hAnsi="Times New Roman"/>
          <w:kern w:val="0"/>
          <w:rtl w:val="0"/>
          <w:lang w:val="en-US"/>
        </w:rPr>
        <w:t xml:space="preserve">of the existing lease area (as defined at 47 C.F.R. </w:t>
      </w:r>
      <w:r>
        <w:rPr>
          <w:rStyle w:val="None"/>
          <w:rFonts w:ascii="Times New Roman" w:hAnsi="Times New Roman" w:hint="default"/>
          <w:kern w:val="0"/>
          <w:rtl w:val="0"/>
          <w:lang w:val="en-US"/>
        </w:rPr>
        <w:t xml:space="preserve">§ </w:t>
      </w:r>
      <w:r>
        <w:rPr>
          <w:rStyle w:val="None"/>
          <w:rFonts w:ascii="Times New Roman" w:hAnsi="Times New Roman"/>
          <w:kern w:val="0"/>
          <w:rtl w:val="0"/>
        </w:rPr>
        <w:t>1.6100(b)(7)(iv).</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No excavation is required for this modification.</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numPr>
          <w:ilvl w:val="0"/>
          <w:numId w:val="14"/>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Would defeat the concealment elements of the eligible support structure.</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right="930"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The proposed modifications will not defeat the concealment elements.</w:t>
      </w:r>
      <w:r>
        <w:rPr>
          <w:rStyle w:val="None"/>
          <w:rFonts w:ascii="Times New Roman" w:hAnsi="Times New Roman" w:hint="default"/>
          <w:i w:val="1"/>
          <w:iCs w:val="1"/>
          <w:kern w:val="0"/>
          <w:rtl w:val="0"/>
          <w:lang w:val="en-US"/>
        </w:rPr>
        <w:t> </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numPr>
          <w:ilvl w:val="0"/>
          <w:numId w:val="17"/>
        </w:numPr>
        <w:bidi w:val="0"/>
        <w:spacing w:after="0" w:line="240" w:lineRule="auto"/>
        <w:ind w:right="0"/>
        <w:jc w:val="left"/>
        <w:rPr>
          <w:rFonts w:ascii="Times New Roman" w:hAnsi="Times New Roman"/>
          <w:rtl w:val="0"/>
          <w:lang w:val="en-US"/>
        </w:rPr>
      </w:pPr>
      <w:r>
        <w:rPr>
          <w:rStyle w:val="None"/>
          <w:rFonts w:ascii="Times New Roman" w:hAnsi="Times New Roman"/>
          <w:kern w:val="0"/>
          <w:rtl w:val="0"/>
          <w:lang w:val="en-US"/>
        </w:rPr>
        <w:t>Does not comply with conditions associated with the siting approval of the construction or modification of the existing facility, unless the non- compliance is due only to a change in height, width, etc., that does not exceed the first four thresholds.</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575" w:right="930" w:firstLine="0"/>
        <w:rPr>
          <w:rStyle w:val="None"/>
          <w:rFonts w:ascii="Segoe UI" w:cs="Segoe UI" w:hAnsi="Segoe UI" w:eastAsia="Segoe UI"/>
          <w:kern w:val="0"/>
          <w:sz w:val="18"/>
          <w:szCs w:val="18"/>
        </w:rPr>
      </w:pPr>
      <w:r>
        <w:rPr>
          <w:rStyle w:val="None"/>
          <w:rFonts w:ascii="Times New Roman" w:hAnsi="Times New Roman"/>
          <w:i w:val="1"/>
          <w:iCs w:val="1"/>
          <w:kern w:val="0"/>
          <w:rtl w:val="0"/>
          <w:lang w:val="en-US"/>
        </w:rPr>
        <w:t xml:space="preserve">There are no prior conditions of approval that would render the modification to be non-compliant, aside from any conditions that would be preempted by the first four </w:t>
      </w:r>
      <w:r>
        <w:rPr>
          <w:rStyle w:val="None"/>
          <w:rFonts w:ascii="Times New Roman" w:hAnsi="Times New Roman" w:hint="default"/>
          <w:i w:val="1"/>
          <w:iCs w:val="1"/>
          <w:kern w:val="0"/>
          <w:rtl w:val="0"/>
          <w:lang w:val="en-US"/>
        </w:rPr>
        <w:t>“</w:t>
      </w:r>
      <w:r>
        <w:rPr>
          <w:rStyle w:val="None"/>
          <w:rFonts w:ascii="Times New Roman" w:hAnsi="Times New Roman"/>
          <w:i w:val="1"/>
          <w:iCs w:val="1"/>
          <w:kern w:val="0"/>
          <w:rtl w:val="0"/>
          <w:lang w:val="en-US"/>
        </w:rPr>
        <w:t>substantial change</w:t>
      </w:r>
      <w:r>
        <w:rPr>
          <w:rStyle w:val="None"/>
          <w:rFonts w:ascii="Times New Roman" w:hAnsi="Times New Roman" w:hint="default"/>
          <w:i w:val="1"/>
          <w:iCs w:val="1"/>
          <w:kern w:val="0"/>
          <w:rtl w:val="0"/>
          <w:lang w:val="en-US"/>
        </w:rPr>
        <w:t xml:space="preserve">” </w:t>
      </w:r>
      <w:r>
        <w:rPr>
          <w:rStyle w:val="None"/>
          <w:rFonts w:ascii="Times New Roman" w:hAnsi="Times New Roman"/>
          <w:i w:val="1"/>
          <w:iCs w:val="1"/>
          <w:kern w:val="0"/>
          <w:rtl w:val="0"/>
          <w:lang w:val="en-US"/>
        </w:rPr>
        <w:t>thresholds.</w:t>
      </w:r>
      <w:r>
        <w:rPr>
          <w:rStyle w:val="None"/>
          <w:rFonts w:ascii="Times New Roman" w:hAnsi="Times New Roman" w:hint="default"/>
          <w:kern w:val="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ind w:left="135" w:right="150"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 xml:space="preserve">In sum, the modification qualifies as an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eligible facilities request</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 xml:space="preserve">under the Spectrum Act and FCC rules as it does not exceed any of the thresholds such that it would </w:t>
      </w:r>
      <w:r>
        <w:rPr>
          <w:rStyle w:val="None"/>
          <w:rFonts w:ascii="Times New Roman" w:hAnsi="Times New Roman" w:hint="default"/>
          <w:kern w:val="0"/>
          <w:sz w:val="20"/>
          <w:szCs w:val="20"/>
          <w:rtl w:val="0"/>
          <w:lang w:val="en-US"/>
        </w:rPr>
        <w:t>“</w:t>
      </w:r>
      <w:r>
        <w:rPr>
          <w:rStyle w:val="None"/>
          <w:rFonts w:ascii="Times New Roman" w:hAnsi="Times New Roman"/>
          <w:kern w:val="0"/>
          <w:sz w:val="20"/>
          <w:szCs w:val="20"/>
          <w:rtl w:val="0"/>
          <w:lang w:val="en-US"/>
        </w:rPr>
        <w:t>substantially change</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the physical dimensions of the existing site. Failure to process this eligible facilities request and approve all necessary permits within 60 days may result in the request being deemed granted by operation of law.</w:t>
      </w:r>
      <w:r>
        <w:rPr>
          <w:rStyle w:val="None"/>
          <w:rFonts w:ascii="Times New Roman" w:hAnsi="Times New Roman" w:hint="default"/>
          <w:kern w:val="0"/>
          <w:sz w:val="20"/>
          <w:szCs w:val="2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Times New Roman" w:hAnsi="Times New Roman" w:hint="default"/>
          <w:kern w:val="0"/>
          <w:sz w:val="20"/>
          <w:szCs w:val="20"/>
          <w:rtl w:val="0"/>
          <w:lang w:val="en-US"/>
        </w:rPr>
        <w:t> </w:t>
      </w:r>
    </w:p>
    <w:p>
      <w:pPr>
        <w:pStyle w:val="Body"/>
        <w:spacing w:after="0" w:line="240" w:lineRule="auto"/>
        <w:rPr>
          <w:rStyle w:val="None"/>
          <w:rFonts w:ascii="Segoe UI" w:cs="Segoe UI" w:hAnsi="Segoe UI" w:eastAsia="Segoe UI"/>
          <w:kern w:val="0"/>
          <w:sz w:val="18"/>
          <w:szCs w:val="18"/>
        </w:rPr>
      </w:pPr>
      <w:r>
        <w:rPr>
          <w:rStyle w:val="None"/>
          <w:rFonts w:ascii="Segoe UI" w:cs="Segoe UI" w:hAnsi="Segoe UI" w:eastAsia="Segoe UI"/>
          <w:kern w:val="0"/>
          <w:sz w:val="18"/>
          <w:szCs w:val="18"/>
        </w:rPr>
        <w:drawing xmlns:a="http://schemas.openxmlformats.org/drawingml/2006/main">
          <wp:inline distT="0" distB="0" distL="0" distR="0">
            <wp:extent cx="1838325" cy="19050"/>
            <wp:effectExtent l="0" t="0" r="0" b="0"/>
            <wp:docPr id="1073741825" name="officeArt object" descr="Shape"/>
            <wp:cNvGraphicFramePr/>
            <a:graphic xmlns:a="http://schemas.openxmlformats.org/drawingml/2006/main">
              <a:graphicData uri="http://schemas.openxmlformats.org/drawingml/2006/picture">
                <pic:pic xmlns:pic="http://schemas.openxmlformats.org/drawingml/2006/picture">
                  <pic:nvPicPr>
                    <pic:cNvPr id="1073741825" name="Shape" descr="Shape"/>
                    <pic:cNvPicPr>
                      <a:picLocks noChangeAspect="1"/>
                    </pic:cNvPicPr>
                  </pic:nvPicPr>
                  <pic:blipFill>
                    <a:blip r:embed="rId4">
                      <a:extLst/>
                    </a:blip>
                    <a:stretch>
                      <a:fillRect/>
                    </a:stretch>
                  </pic:blipFill>
                  <pic:spPr>
                    <a:xfrm>
                      <a:off x="0" y="0"/>
                      <a:ext cx="1838325" cy="19050"/>
                    </a:xfrm>
                    <a:prstGeom prst="rect">
                      <a:avLst/>
                    </a:prstGeom>
                    <a:ln w="12700" cap="flat">
                      <a:noFill/>
                      <a:miter lim="400000"/>
                    </a:ln>
                    <a:effectLst/>
                  </pic:spPr>
                </pic:pic>
              </a:graphicData>
            </a:graphic>
          </wp:inline>
        </w:drawing>
      </w:r>
      <w:r>
        <w:rPr>
          <w:rStyle w:val="None"/>
          <w:rFonts w:ascii="Times New Roman" w:hAnsi="Times New Roman" w:hint="default"/>
          <w:kern w:val="0"/>
          <w:sz w:val="16"/>
          <w:szCs w:val="16"/>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1</w:t>
      </w:r>
      <w:r>
        <w:rPr>
          <w:rStyle w:val="None"/>
          <w:rFonts w:ascii="Times New Roman" w:hAnsi="Times New Roman"/>
          <w:kern w:val="0"/>
          <w:sz w:val="20"/>
          <w:szCs w:val="20"/>
          <w:rtl w:val="0"/>
          <w:lang w:val="it-IT"/>
        </w:rPr>
        <w:t xml:space="preserve"> 47 U.S.C.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1455(a)(1).</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2</w:t>
      </w:r>
      <w:r>
        <w:rPr>
          <w:rStyle w:val="None"/>
          <w:rFonts w:ascii="Times New Roman" w:hAnsi="Times New Roman"/>
          <w:kern w:val="0"/>
          <w:sz w:val="20"/>
          <w:szCs w:val="20"/>
          <w:rtl w:val="0"/>
          <w:lang w:val="it-IT"/>
        </w:rPr>
        <w:t xml:space="preserve"> 47 U.S.C.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1455(a)(2).</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3</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en-US"/>
        </w:rPr>
        <w:t xml:space="preserve">Report and Order FCC 14-153, 29 FCC Rcd. 12865 (FCC October 17, 2014); </w:t>
      </w:r>
      <w:r>
        <w:rPr>
          <w:rStyle w:val="None"/>
          <w:rFonts w:ascii="Times New Roman" w:hAnsi="Times New Roman"/>
          <w:i w:val="1"/>
          <w:iCs w:val="1"/>
          <w:kern w:val="0"/>
          <w:sz w:val="20"/>
          <w:szCs w:val="20"/>
          <w:rtl w:val="0"/>
          <w:lang w:val="en-US"/>
        </w:rPr>
        <w:t xml:space="preserve">see also </w:t>
      </w:r>
      <w:r>
        <w:rPr>
          <w:rStyle w:val="None"/>
          <w:rFonts w:ascii="Times New Roman" w:hAnsi="Times New Roman"/>
          <w:kern w:val="0"/>
          <w:sz w:val="20"/>
          <w:szCs w:val="20"/>
          <w:rtl w:val="0"/>
          <w:lang w:val="en-US"/>
        </w:rPr>
        <w:t>Report and</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20"/>
          <w:szCs w:val="20"/>
          <w:rtl w:val="0"/>
          <w:lang w:val="en-US"/>
        </w:rPr>
        <w:t>Order FCC 20-153, 85 FR 78005 (FCC October 27, 2020).</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4</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it-IT"/>
        </w:rPr>
        <w:t xml:space="preserve">47 C.F.R.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1.6100(c)(2), (3).</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5</w:t>
      </w:r>
      <w:r>
        <w:rPr>
          <w:rStyle w:val="None"/>
          <w:rFonts w:ascii="Times New Roman" w:hAnsi="Times New Roman"/>
          <w:kern w:val="0"/>
          <w:sz w:val="20"/>
          <w:szCs w:val="20"/>
          <w:rtl w:val="0"/>
          <w:lang w:val="en-US"/>
        </w:rPr>
        <w:t xml:space="preserve"> Declaratory Ruling 20-75, 35 FCC Rcd 5977,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lang w:val="en-US"/>
        </w:rPr>
        <w:t>16 (FCC June 9, 2020).</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6</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it-IT"/>
        </w:rPr>
        <w:t xml:space="preserve">47 C.F.R.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1.6100(c)(1).</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7</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it-IT"/>
        </w:rPr>
        <w:t xml:space="preserve">47 C.F.R.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1.6100(c)(4).</w:t>
      </w:r>
      <w:r>
        <w:rPr>
          <w:rStyle w:val="None"/>
          <w:rFonts w:ascii="Times New Roman" w:hAnsi="Times New Roman" w:hint="default"/>
          <w:kern w:val="0"/>
          <w:sz w:val="20"/>
          <w:szCs w:val="20"/>
          <w:rtl w:val="0"/>
          <w:lang w:val="en-US"/>
        </w:rPr>
        <w:t> </w:t>
      </w:r>
    </w:p>
    <w:p>
      <w:pPr>
        <w:pStyle w:val="Body"/>
        <w:spacing w:after="0" w:line="240" w:lineRule="auto"/>
        <w:ind w:left="135" w:firstLine="0"/>
        <w:rPr>
          <w:rStyle w:val="None"/>
          <w:rFonts w:ascii="Segoe UI" w:cs="Segoe UI" w:hAnsi="Segoe UI" w:eastAsia="Segoe UI"/>
          <w:kern w:val="0"/>
          <w:sz w:val="18"/>
          <w:szCs w:val="18"/>
        </w:rPr>
      </w:pPr>
      <w:r>
        <w:rPr>
          <w:rStyle w:val="None"/>
          <w:rFonts w:ascii="Times New Roman" w:hAnsi="Times New Roman"/>
          <w:kern w:val="0"/>
          <w:sz w:val="16"/>
          <w:szCs w:val="16"/>
          <w:vertAlign w:val="superscript"/>
          <w:rtl w:val="0"/>
        </w:rPr>
        <w:t>8</w:t>
      </w:r>
      <w:r>
        <w:rPr>
          <w:rStyle w:val="None"/>
          <w:rFonts w:ascii="Times New Roman" w:hAnsi="Times New Roman"/>
          <w:kern w:val="0"/>
          <w:sz w:val="20"/>
          <w:szCs w:val="20"/>
          <w:rtl w:val="0"/>
        </w:rPr>
        <w:t xml:space="preserve"> </w:t>
      </w:r>
      <w:r>
        <w:rPr>
          <w:rStyle w:val="None"/>
          <w:rFonts w:ascii="Times New Roman" w:hAnsi="Times New Roman"/>
          <w:i w:val="1"/>
          <w:iCs w:val="1"/>
          <w:kern w:val="0"/>
          <w:sz w:val="20"/>
          <w:szCs w:val="20"/>
          <w:rtl w:val="0"/>
          <w:lang w:val="en-US"/>
        </w:rPr>
        <w:t xml:space="preserve">See </w:t>
      </w:r>
      <w:r>
        <w:rPr>
          <w:rStyle w:val="None"/>
          <w:rFonts w:ascii="Times New Roman" w:hAnsi="Times New Roman"/>
          <w:kern w:val="0"/>
          <w:sz w:val="20"/>
          <w:szCs w:val="20"/>
          <w:rtl w:val="0"/>
          <w:lang w:val="it-IT"/>
        </w:rPr>
        <w:t xml:space="preserve">47 C.F.R. </w:t>
      </w:r>
      <w:r>
        <w:rPr>
          <w:rStyle w:val="None"/>
          <w:rFonts w:ascii="Times New Roman" w:hAnsi="Times New Roman" w:hint="default"/>
          <w:kern w:val="0"/>
          <w:sz w:val="20"/>
          <w:szCs w:val="20"/>
          <w:rtl w:val="0"/>
          <w:lang w:val="en-US"/>
        </w:rPr>
        <w:t xml:space="preserve">§ </w:t>
      </w:r>
      <w:r>
        <w:rPr>
          <w:rStyle w:val="None"/>
          <w:rFonts w:ascii="Times New Roman" w:hAnsi="Times New Roman"/>
          <w:kern w:val="0"/>
          <w:sz w:val="20"/>
          <w:szCs w:val="20"/>
          <w:rtl w:val="0"/>
        </w:rPr>
        <w:t>1.6100(b)(7).</w:t>
      </w:r>
      <w:r>
        <w:rPr>
          <w:rStyle w:val="None"/>
          <w:rFonts w:ascii="Times New Roman" w:hAnsi="Times New Roman" w:hint="default"/>
          <w:kern w:val="0"/>
          <w:sz w:val="20"/>
          <w:szCs w:val="20"/>
          <w:rtl w:val="0"/>
          <w:lang w:val="en-US"/>
        </w:rPr>
        <w:t> </w:t>
      </w:r>
    </w:p>
    <w:p>
      <w:pPr>
        <w:pStyle w:val="Body"/>
        <w:spacing w:after="0" w:line="240" w:lineRule="auto"/>
        <w:ind w:left="135" w:right="180" w:firstLine="0"/>
      </w:pPr>
      <w:r>
        <w:rPr>
          <w:rStyle w:val="None"/>
          <w:rFonts w:ascii="Times New Roman" w:hAnsi="Times New Roman" w:hint="default"/>
          <w:kern w:val="0"/>
          <w:sz w:val="20"/>
          <w:szCs w:val="20"/>
          <w:rtl w:val="0"/>
          <w:lang w:val="en-US"/>
        </w:rPr>
        <w:t> </w:t>
      </w:r>
      <w:r>
        <w:rPr>
          <w:rStyle w:val="None"/>
          <w:rFonts w:ascii="Segoe UI" w:cs="Segoe UI" w:hAnsi="Segoe UI" w:eastAsia="Segoe UI"/>
          <w:kern w:val="0"/>
          <w:sz w:val="18"/>
          <w:szCs w:val="18"/>
        </w:rPr>
      </w:r>
    </w:p>
    <w:sectPr>
      <w:headerReference w:type="default" r:id="rId5"/>
      <w:footerReference w:type="default" r:id="rId6"/>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ptos">
    <w:charset w:val="00"/>
    <w:family w:val="roman"/>
    <w:pitch w:val="default"/>
  </w:font>
  <w:font w:name="Segoe UI">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2"/>
  </w:abstractNum>
  <w:abstractNum w:abstractNumId="3">
    <w:multiLevelType w:val="hybridMultilevel"/>
    <w:styleLink w:val="Imported Style 2"/>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Imported Style 3"/>
  </w:abstractNum>
  <w:abstractNum w:abstractNumId="5">
    <w:multiLevelType w:val="hybridMultilevel"/>
    <w:styleLink w:val="Imported Style 3"/>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numStyleLink w:val="Imported Style 4"/>
  </w:abstractNum>
  <w:abstractNum w:abstractNumId="7">
    <w:multiLevelType w:val="hybridMultilevel"/>
    <w:styleLink w:val="Imported Style 4"/>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8">
    <w:multiLevelType w:val="hybridMultilevel"/>
    <w:numStyleLink w:val="Imported Style 5"/>
  </w:abstractNum>
  <w:abstractNum w:abstractNumId="9">
    <w:multiLevelType w:val="hybridMultilevel"/>
    <w:styleLink w:val="Imported Style 5"/>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0">
    <w:multiLevelType w:val="hybridMultilevel"/>
    <w:numStyleLink w:val="Imported Style 6"/>
  </w:abstractNum>
  <w:abstractNum w:abstractNumId="11">
    <w:multiLevelType w:val="hybridMultilevel"/>
    <w:styleLink w:val="Imported Style 6"/>
    <w:lvl w:ilvl="0">
      <w:start w:val="1"/>
      <w:numFmt w:val="decimal"/>
      <w:suff w:val="tab"/>
      <w:lvlText w:val="%1."/>
      <w:lvlJc w:val="left"/>
      <w:pPr>
        <w:tabs>
          <w:tab w:val="left" w:pos="720"/>
          <w:tab w:val="num" w:pos="2160"/>
        </w:tabs>
        <w:ind w:left="1575" w:firstLine="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tabs>
          <w:tab w:val="left" w:pos="720"/>
          <w:tab w:val="num" w:pos="2880"/>
        </w:tabs>
        <w:ind w:left="2295" w:firstLine="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tabs>
          <w:tab w:val="left" w:pos="720"/>
          <w:tab w:val="num" w:pos="3600"/>
        </w:tabs>
        <w:ind w:left="3015" w:firstLine="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720"/>
          <w:tab w:val="num" w:pos="4320"/>
        </w:tabs>
        <w:ind w:left="3735" w:firstLine="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tabs>
          <w:tab w:val="left" w:pos="720"/>
          <w:tab w:val="num" w:pos="5040"/>
        </w:tabs>
        <w:ind w:left="4455" w:firstLine="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tabs>
          <w:tab w:val="left" w:pos="720"/>
          <w:tab w:val="num" w:pos="5760"/>
        </w:tabs>
        <w:ind w:left="5175" w:firstLine="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720"/>
          <w:tab w:val="num" w:pos="6480"/>
        </w:tabs>
        <w:ind w:left="5895" w:firstLine="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tabs>
          <w:tab w:val="left" w:pos="720"/>
          <w:tab w:val="num" w:pos="7200"/>
        </w:tabs>
        <w:ind w:left="6615" w:firstLine="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tabs>
          <w:tab w:val="left" w:pos="720"/>
          <w:tab w:val="num" w:pos="7920"/>
        </w:tabs>
        <w:ind w:left="7335" w:firstLine="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2"/>
    <w:lvlOverride w:ilvl="0">
      <w:startOverride w:val="2"/>
    </w:lvlOverride>
  </w:num>
  <w:num w:numId="6">
    <w:abstractNumId w:val="5"/>
  </w:num>
  <w:num w:numId="7">
    <w:abstractNumId w:val="4"/>
  </w:num>
  <w:num w:numId="8">
    <w:abstractNumId w:val="4"/>
    <w:lvlOverride w:ilvl="0">
      <w:startOverride w:val="3"/>
    </w:lvlOverride>
  </w:num>
  <w:num w:numId="9">
    <w:abstractNumId w:val="7"/>
  </w:num>
  <w:num w:numId="10">
    <w:abstractNumId w:val="6"/>
  </w:num>
  <w:num w:numId="11">
    <w:abstractNumId w:val="6"/>
    <w:lvlOverride w:ilvl="0">
      <w:startOverride w:val="4"/>
    </w:lvlOverride>
  </w:num>
  <w:num w:numId="12">
    <w:abstractNumId w:val="9"/>
  </w:num>
  <w:num w:numId="13">
    <w:abstractNumId w:val="8"/>
  </w:num>
  <w:num w:numId="14">
    <w:abstractNumId w:val="8"/>
    <w:lvlOverride w:ilvl="0">
      <w:startOverride w:val="5"/>
    </w:lvlOverride>
  </w:num>
  <w:num w:numId="15">
    <w:abstractNumId w:val="11"/>
  </w:num>
  <w:num w:numId="16">
    <w:abstractNumId w:val="10"/>
  </w:num>
  <w:num w:numId="17">
    <w:abstractNumId w:val="10"/>
    <w:lvlOverride w:ilvl="0">
      <w:startOverride w:val="6"/>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78" w:lineRule="auto"/>
      <w:ind w:left="0" w:right="0" w:firstLine="0"/>
      <w:jc w:val="left"/>
      <w:outlineLvl w:val="9"/>
    </w:pPr>
    <w:rPr>
      <w:rFonts w:ascii="Aptos" w:cs="Aptos" w:hAnsi="Aptos" w:eastAsia="Aptos"/>
      <w:b w:val="0"/>
      <w:bCs w:val="0"/>
      <w:i w:val="0"/>
      <w:iCs w:val="0"/>
      <w:caps w:val="0"/>
      <w:smallCaps w:val="0"/>
      <w:strike w:val="0"/>
      <w:dstrike w:val="0"/>
      <w:outline w:val="0"/>
      <w:color w:val="000000"/>
      <w:spacing w:val="0"/>
      <w:kern w:val="2"/>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rFonts w:ascii="Calibri" w:cs="Calibri" w:hAnsi="Calibri" w:eastAsia="Calibri"/>
      <w:outline w:val="0"/>
      <w:color w:val="0000ff"/>
      <w:kern w:val="0"/>
      <w:sz w:val="22"/>
      <w:szCs w:val="22"/>
      <w:u w:val="single" w:color="0000ff"/>
      <w14:textFill>
        <w14:solidFill>
          <w14:srgbClr w14:val="0000FF"/>
        </w14:solidFill>
      </w14:textFill>
    </w:rPr>
  </w:style>
  <w:style w:type="numbering" w:styleId="Imported Style 1">
    <w:name w:val="Imported Style 1"/>
    <w:pPr>
      <w:numPr>
        <w:numId w:val="1"/>
      </w:numPr>
    </w:pPr>
  </w:style>
  <w:style w:type="numbering" w:styleId="Imported Style 2">
    <w:name w:val="Imported Style 2"/>
    <w:pPr>
      <w:numPr>
        <w:numId w:val="3"/>
      </w:numPr>
    </w:pPr>
  </w:style>
  <w:style w:type="numbering" w:styleId="Imported Style 3">
    <w:name w:val="Imported Style 3"/>
    <w:pPr>
      <w:numPr>
        <w:numId w:val="6"/>
      </w:numPr>
    </w:pPr>
  </w:style>
  <w:style w:type="numbering" w:styleId="Imported Style 4">
    <w:name w:val="Imported Style 4"/>
    <w:pPr>
      <w:numPr>
        <w:numId w:val="9"/>
      </w:numPr>
    </w:pPr>
  </w:style>
  <w:style w:type="numbering" w:styleId="Imported Style 5">
    <w:name w:val="Imported Style 5"/>
    <w:pPr>
      <w:numPr>
        <w:numId w:val="12"/>
      </w:numPr>
    </w:pPr>
  </w:style>
  <w:style w:type="numbering" w:styleId="Imported Style 6">
    <w:name w:val="Imported Style 6"/>
    <w:pPr>
      <w:numPr>
        <w:numId w:val="15"/>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156082"/>
      </a:accent1>
      <a:accent2>
        <a:srgbClr val="E97132"/>
      </a:accent2>
      <a:accent3>
        <a:srgbClr val="196B24"/>
      </a:accent3>
      <a:accent4>
        <a:srgbClr val="0F9ED5"/>
      </a:accent4>
      <a:accent5>
        <a:srgbClr val="A02B93"/>
      </a:accent5>
      <a:accent6>
        <a:srgbClr val="4EA72E"/>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Aptos"/>
            <a:ea typeface="Aptos"/>
            <a:cs typeface="Aptos"/>
            <a:sym typeface="Aptos"/>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