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0" w:line="240" w:lineRule="auto"/>
        <w:ind w:left="855" w:right="1050" w:firstLine="0"/>
        <w:jc w:val="center"/>
        <w:rPr>
          <w:rFonts w:ascii="Segoe UI" w:cs="Segoe UI" w:hAnsi="Segoe UI" w:eastAsia="Segoe UI"/>
          <w:b w:val="1"/>
          <w:bCs w:val="1"/>
          <w:kern w:val="0"/>
          <w:sz w:val="18"/>
          <w:szCs w:val="18"/>
        </w:rPr>
      </w:pPr>
      <w:r>
        <w:rPr>
          <w:rFonts w:ascii="Times New Roman" w:hAnsi="Times New Roman"/>
          <w:b w:val="1"/>
          <w:bCs w:val="1"/>
          <w:kern w:val="0"/>
          <w:sz w:val="32"/>
          <w:szCs w:val="32"/>
          <w:rtl w:val="0"/>
          <w:lang w:val="en-US"/>
        </w:rPr>
        <w:t>Verizon Wireless 60-Day Eligible Facility Request</w:t>
      </w:r>
      <w:r>
        <w:rPr>
          <w:rFonts w:ascii="Times New Roman" w:hAnsi="Times New Roman" w:hint="default"/>
          <w:b w:val="1"/>
          <w:bCs w:val="1"/>
          <w:kern w:val="0"/>
          <w:sz w:val="32"/>
          <w:szCs w:val="32"/>
          <w:rtl w:val="0"/>
          <w:lang w:val="en-US"/>
        </w:rPr>
        <w:t> </w:t>
      </w:r>
    </w:p>
    <w:p>
      <w:pPr>
        <w:pStyle w:val="Body"/>
        <w:spacing w:after="0" w:line="240" w:lineRule="auto"/>
        <w:ind w:left="855" w:right="1050" w:firstLine="0"/>
        <w:jc w:val="center"/>
        <w:rPr>
          <w:rFonts w:ascii="Segoe UI" w:cs="Segoe UI" w:hAnsi="Segoe UI" w:eastAsia="Segoe UI"/>
          <w:b w:val="1"/>
          <w:bCs w:val="1"/>
          <w:kern w:val="0"/>
          <w:sz w:val="18"/>
          <w:szCs w:val="18"/>
        </w:rPr>
      </w:pPr>
      <w:r>
        <w:rPr>
          <w:rFonts w:ascii="Times New Roman" w:hAnsi="Times New Roman"/>
          <w:b w:val="1"/>
          <w:bCs w:val="1"/>
          <w:kern w:val="0"/>
          <w:sz w:val="32"/>
          <w:szCs w:val="32"/>
          <w:rtl w:val="0"/>
          <w:lang w:val="en-US"/>
        </w:rPr>
        <w:t>Modification of Existing Telecom Site</w:t>
      </w:r>
      <w:r>
        <w:rPr>
          <w:rFonts w:ascii="Times New Roman" w:hAnsi="Times New Roman" w:hint="default"/>
          <w:b w:val="1"/>
          <w:bCs w:val="1"/>
          <w:kern w:val="0"/>
          <w:sz w:val="32"/>
          <w:szCs w:val="3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kern w:val="0"/>
          <w:sz w:val="18"/>
          <w:szCs w:val="18"/>
          <w:rtl w:val="0"/>
          <w:lang w:val="en-US"/>
        </w:rPr>
        <w:t>May</w:t>
      </w:r>
      <w:r>
        <w:rPr>
          <w:rFonts w:ascii="Times New Roman" w:hAnsi="Times New Roman"/>
          <w:kern w:val="0"/>
          <w:sz w:val="20"/>
          <w:szCs w:val="20"/>
          <w:rtl w:val="0"/>
        </w:rPr>
        <w:t xml:space="preserve"> </w:t>
      </w:r>
      <w:r>
        <w:rPr>
          <w:rFonts w:ascii="Times New Roman" w:hAnsi="Times New Roman"/>
          <w:kern w:val="0"/>
          <w:sz w:val="20"/>
          <w:szCs w:val="20"/>
          <w:rtl w:val="0"/>
          <w:lang w:val="en-US"/>
        </w:rPr>
        <w:t>29</w:t>
      </w:r>
      <w:r>
        <w:rPr>
          <w:rFonts w:ascii="Times New Roman" w:hAnsi="Times New Roman"/>
          <w:kern w:val="0"/>
          <w:sz w:val="20"/>
          <w:szCs w:val="20"/>
          <w:rtl w:val="0"/>
          <w:lang w:val="en-US"/>
        </w:rPr>
        <w:t>th, 2025</w:t>
      </w: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hint="default"/>
          <w:kern w:val="0"/>
          <w:sz w:val="20"/>
          <w:szCs w:val="20"/>
          <w:rtl w:val="0"/>
          <w:lang w:val="en-US"/>
        </w:rPr>
        <w:t> </w:t>
      </w:r>
    </w:p>
    <w:p>
      <w:pPr>
        <w:pStyle w:val="Default"/>
        <w:bidi w:val="0"/>
        <w:spacing w:before="0" w:line="240" w:lineRule="auto"/>
        <w:ind w:left="0" w:right="0" w:firstLine="0"/>
        <w:jc w:val="left"/>
        <w:rPr>
          <w:rFonts w:ascii="Times New Roman" w:cs="Times New Roman" w:hAnsi="Times New Roman" w:eastAsia="Times New Roman"/>
          <w:outline w:val="0"/>
          <w:color w:val="242424"/>
          <w:sz w:val="21"/>
          <w:szCs w:val="21"/>
          <w:shd w:val="clear" w:color="auto" w:fill="ffffff"/>
          <w:rtl w:val="0"/>
          <w14:textFill>
            <w14:solidFill>
              <w14:srgbClr w14:val="242424"/>
            </w14:solidFill>
          </w14:textFill>
        </w:rPr>
      </w:pPr>
      <w:r>
        <w:rPr>
          <w:rFonts w:ascii="Times New Roman" w:hAnsi="Times New Roman"/>
          <w:outline w:val="0"/>
          <w:color w:val="242424"/>
          <w:sz w:val="21"/>
          <w:szCs w:val="21"/>
          <w:shd w:val="clear" w:color="auto" w:fill="ffffff"/>
          <w:rtl w:val="0"/>
          <w:lang w:val="en-US"/>
          <w14:textFill>
            <w14:solidFill>
              <w14:srgbClr w14:val="242424"/>
            </w14:solidFill>
          </w14:textFill>
        </w:rPr>
        <w:t>El Paso County Planning and Community Development</w:t>
      </w:r>
    </w:p>
    <w:p>
      <w:pPr>
        <w:pStyle w:val="Default"/>
        <w:bidi w:val="0"/>
        <w:spacing w:before="0" w:line="240" w:lineRule="auto"/>
        <w:ind w:left="0" w:right="0" w:firstLine="0"/>
        <w:jc w:val="left"/>
        <w:rPr>
          <w:rFonts w:ascii="Times New Roman" w:cs="Times New Roman" w:hAnsi="Times New Roman" w:eastAsia="Times New Roman"/>
          <w:outline w:val="0"/>
          <w:color w:val="242424"/>
          <w:sz w:val="32"/>
          <w:szCs w:val="32"/>
          <w:shd w:val="clear" w:color="auto" w:fill="ffffff"/>
          <w:rtl w:val="0"/>
          <w14:textFill>
            <w14:solidFill>
              <w14:srgbClr w14:val="242424"/>
            </w14:solidFill>
          </w14:textFill>
        </w:rPr>
      </w:pPr>
      <w:r>
        <w:rPr>
          <w:rFonts w:ascii="Times New Roman" w:hAnsi="Times New Roman"/>
          <w:outline w:val="0"/>
          <w:color w:val="242424"/>
          <w:sz w:val="21"/>
          <w:szCs w:val="21"/>
          <w:shd w:val="clear" w:color="auto" w:fill="ffffff"/>
          <w:rtl w:val="0"/>
          <w:lang w:val="en-US"/>
          <w14:textFill>
            <w14:solidFill>
              <w14:srgbClr w14:val="242424"/>
            </w14:solidFill>
          </w14:textFill>
        </w:rPr>
        <w:t>2880 International Circle, Colorado Springs, CO, 80910</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2"/>
          <w:szCs w:val="2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8"/>
          <w:szCs w:val="18"/>
          <w:rtl w:val="0"/>
          <w:lang w:val="en-US"/>
        </w:rPr>
        <w:t> </w:t>
      </w:r>
    </w:p>
    <w:p>
      <w:pPr>
        <w:pStyle w:val="Body"/>
        <w:spacing w:after="0" w:line="240" w:lineRule="auto"/>
        <w:ind w:left="135" w:firstLine="0"/>
        <w:rPr>
          <w:rFonts w:ascii="Segoe UI" w:cs="Segoe UI" w:hAnsi="Segoe UI" w:eastAsia="Segoe UI"/>
          <w:kern w:val="0"/>
          <w:sz w:val="18"/>
          <w:szCs w:val="18"/>
        </w:rPr>
      </w:pPr>
      <w:r>
        <w:rPr>
          <w:rFonts w:ascii="Times New Roman" w:hAnsi="Times New Roman"/>
          <w:b w:val="1"/>
          <w:bCs w:val="1"/>
          <w:kern w:val="0"/>
          <w:sz w:val="20"/>
          <w:szCs w:val="20"/>
          <w:rtl w:val="0"/>
        </w:rPr>
        <w:t>Re:</w:t>
      </w:r>
      <w:r>
        <w:rPr>
          <w:rFonts w:ascii="Calibri" w:cs="Calibri" w:hAnsi="Calibri" w:eastAsia="Calibri"/>
          <w:kern w:val="0"/>
          <w:sz w:val="20"/>
          <w:szCs w:val="20"/>
        </w:rPr>
        <w:tab/>
      </w:r>
      <w:r>
        <w:rPr>
          <w:rFonts w:ascii="Times New Roman" w:hAnsi="Times New Roman"/>
          <w:kern w:val="0"/>
          <w:sz w:val="20"/>
          <w:szCs w:val="20"/>
          <w:rtl w:val="0"/>
          <w:lang w:val="de-DE"/>
        </w:rPr>
        <w:t>Verizon Site:</w:t>
      </w:r>
      <w:r>
        <w:rPr>
          <w:rFonts w:ascii="Calibri" w:cs="Calibri" w:hAnsi="Calibri" w:eastAsia="Calibri"/>
          <w:kern w:val="0"/>
          <w:sz w:val="20"/>
          <w:szCs w:val="20"/>
        </w:rPr>
        <w:tab/>
      </w:r>
      <w:r>
        <w:rPr>
          <w:rFonts w:ascii="Times New Roman" w:hAnsi="Times New Roman"/>
          <w:b w:val="1"/>
          <w:bCs w:val="1"/>
          <w:kern w:val="0"/>
          <w:sz w:val="20"/>
          <w:szCs w:val="20"/>
          <w:rtl w:val="0"/>
          <w:lang w:val="en-US"/>
        </w:rPr>
        <w:t>CSP Turkey Creek</w:t>
      </w:r>
      <w:r>
        <w:rPr>
          <w:rFonts w:ascii="Times New Roman" w:hAnsi="Times New Roman" w:hint="default"/>
          <w:kern w:val="0"/>
          <w:sz w:val="20"/>
          <w:szCs w:val="20"/>
          <w:rtl w:val="0"/>
          <w:lang w:val="en-US"/>
        </w:rPr>
        <w:t> </w:t>
      </w:r>
    </w:p>
    <w:p>
      <w:pPr>
        <w:pStyle w:val="Body"/>
        <w:spacing w:after="0" w:line="240" w:lineRule="auto"/>
        <w:ind w:left="855" w:firstLine="0"/>
        <w:rPr>
          <w:rFonts w:ascii="Times New Roman" w:cs="Times New Roman" w:hAnsi="Times New Roman" w:eastAsia="Times New Roman"/>
          <w:b w:val="1"/>
          <w:bCs w:val="1"/>
          <w:kern w:val="0"/>
          <w:sz w:val="20"/>
          <w:szCs w:val="20"/>
        </w:rPr>
      </w:pPr>
      <w:r>
        <w:rPr>
          <w:rFonts w:ascii="Times New Roman" w:hAnsi="Times New Roman"/>
          <w:kern w:val="0"/>
          <w:sz w:val="20"/>
          <w:szCs w:val="20"/>
          <w:rtl w:val="0"/>
          <w:lang w:val="en-US"/>
        </w:rPr>
        <w:t>Site location:</w:t>
      </w:r>
      <w:r>
        <w:rPr>
          <w:rFonts w:ascii="Calibri" w:cs="Calibri" w:hAnsi="Calibri" w:eastAsia="Calibri"/>
          <w:kern w:val="0"/>
          <w:sz w:val="20"/>
          <w:szCs w:val="20"/>
        </w:rPr>
        <w:tab/>
      </w:r>
      <w:r>
        <w:rPr>
          <w:rFonts w:ascii="Times New Roman" w:hAnsi="Times New Roman"/>
          <w:b w:val="1"/>
          <w:bCs w:val="1"/>
          <w:kern w:val="0"/>
          <w:sz w:val="20"/>
          <w:szCs w:val="20"/>
          <w:rtl w:val="0"/>
          <w:lang w:val="en-US"/>
        </w:rPr>
        <w:t>2945 Little</w:t>
      </w:r>
      <w:r>
        <w:rPr>
          <w:rFonts w:ascii="Times New Roman" w:hAnsi="Times New Roman" w:hint="default"/>
          <w:b w:val="1"/>
          <w:bCs w:val="1"/>
          <w:kern w:val="0"/>
          <w:sz w:val="20"/>
          <w:szCs w:val="20"/>
          <w:rtl w:val="0"/>
        </w:rPr>
        <w:t> </w:t>
      </w:r>
      <w:r>
        <w:rPr>
          <w:rFonts w:ascii="Times New Roman" w:hAnsi="Times New Roman"/>
          <w:b w:val="1"/>
          <w:bCs w:val="1"/>
          <w:kern w:val="0"/>
          <w:sz w:val="20"/>
          <w:szCs w:val="20"/>
          <w:rtl w:val="0"/>
        </w:rPr>
        <w:t>Turkey</w:t>
      </w:r>
      <w:r>
        <w:rPr>
          <w:rFonts w:ascii="Times New Roman" w:hAnsi="Times New Roman" w:hint="default"/>
          <w:b w:val="1"/>
          <w:bCs w:val="1"/>
          <w:kern w:val="0"/>
          <w:sz w:val="20"/>
          <w:szCs w:val="20"/>
          <w:rtl w:val="0"/>
        </w:rPr>
        <w:t> </w:t>
      </w:r>
      <w:r>
        <w:rPr>
          <w:rFonts w:ascii="Times New Roman" w:hAnsi="Times New Roman"/>
          <w:b w:val="1"/>
          <w:bCs w:val="1"/>
          <w:kern w:val="0"/>
          <w:sz w:val="20"/>
          <w:szCs w:val="20"/>
          <w:rtl w:val="0"/>
          <w:lang w:val="nl-NL"/>
        </w:rPr>
        <w:t>Creek</w:t>
      </w:r>
      <w:r>
        <w:rPr>
          <w:rFonts w:ascii="Times New Roman" w:hAnsi="Times New Roman" w:hint="default"/>
          <w:b w:val="1"/>
          <w:bCs w:val="1"/>
          <w:kern w:val="0"/>
          <w:sz w:val="20"/>
          <w:szCs w:val="20"/>
          <w:rtl w:val="0"/>
        </w:rPr>
        <w:t> </w:t>
      </w:r>
      <w:r>
        <w:rPr>
          <w:rFonts w:ascii="Times New Roman" w:hAnsi="Times New Roman"/>
          <w:b w:val="1"/>
          <w:bCs w:val="1"/>
          <w:kern w:val="0"/>
          <w:sz w:val="20"/>
          <w:szCs w:val="20"/>
          <w:rtl w:val="0"/>
        </w:rPr>
        <w:t>Rd</w:t>
      </w:r>
      <w:r>
        <w:rPr>
          <w:rFonts w:ascii="Times New Roman" w:hAnsi="Times New Roman" w:hint="default"/>
          <w:b w:val="1"/>
          <w:bCs w:val="1"/>
          <w:kern w:val="0"/>
          <w:sz w:val="20"/>
          <w:szCs w:val="20"/>
          <w:rtl w:val="0"/>
        </w:rPr>
        <w:t> </w:t>
      </w:r>
      <w:r>
        <w:rPr>
          <w:rFonts w:ascii="Times New Roman" w:hAnsi="Times New Roman"/>
          <w:b w:val="1"/>
          <w:bCs w:val="1"/>
          <w:kern w:val="0"/>
          <w:sz w:val="20"/>
          <w:szCs w:val="20"/>
          <w:rtl w:val="0"/>
          <w:lang w:val="en-US"/>
        </w:rPr>
        <w:t>Colorado Springs, CO 80926</w:t>
      </w:r>
    </w:p>
    <w:p>
      <w:pPr>
        <w:pStyle w:val="Body"/>
        <w:spacing w:after="0" w:line="240" w:lineRule="auto"/>
        <w:ind w:left="855" w:firstLine="0"/>
        <w:rPr>
          <w:rFonts w:ascii="Segoe UI" w:cs="Segoe UI" w:hAnsi="Segoe UI" w:eastAsia="Segoe UI"/>
          <w:b w:val="1"/>
          <w:bCs w:val="1"/>
          <w:kern w:val="0"/>
          <w:sz w:val="18"/>
          <w:szCs w:val="18"/>
        </w:rPr>
      </w:pPr>
      <w:r>
        <w:rPr>
          <w:rFonts w:ascii="Times New Roman" w:hAnsi="Times New Roman"/>
          <w:kern w:val="0"/>
          <w:sz w:val="20"/>
          <w:szCs w:val="20"/>
          <w:rtl w:val="0"/>
          <w:lang w:val="en-US"/>
        </w:rPr>
        <w:t>Project:</w:t>
      </w:r>
      <w:r>
        <w:rPr>
          <w:rFonts w:ascii="Calibri" w:cs="Calibri" w:hAnsi="Calibri" w:eastAsia="Calibri"/>
          <w:kern w:val="0"/>
          <w:sz w:val="20"/>
          <w:szCs w:val="20"/>
        </w:rPr>
        <w:tab/>
      </w:r>
      <w:r>
        <w:rPr>
          <w:rFonts w:ascii="Times New Roman" w:hAnsi="Times New Roman"/>
          <w:b w:val="1"/>
          <w:bCs w:val="1"/>
          <w:kern w:val="0"/>
          <w:sz w:val="20"/>
          <w:szCs w:val="20"/>
          <w:rtl w:val="0"/>
          <w:lang w:val="en-US"/>
        </w:rPr>
        <w:t>Equipment Modification to an existing Verizon Telecommunication Facility</w:t>
      </w:r>
      <w:r>
        <w:rPr>
          <w:rFonts w:ascii="Times New Roman" w:hAnsi="Times New Roman" w:hint="default"/>
          <w:b w:val="1"/>
          <w:bCs w:val="1"/>
          <w:kern w:val="0"/>
          <w:sz w:val="20"/>
          <w:szCs w:val="20"/>
          <w:rtl w:val="0"/>
          <w:lang w:val="en-US"/>
        </w:rPr>
        <w:t> </w:t>
      </w:r>
    </w:p>
    <w:p>
      <w:pPr>
        <w:pStyle w:val="Body"/>
        <w:spacing w:after="0" w:line="240" w:lineRule="auto"/>
        <w:ind w:left="855" w:firstLine="0"/>
        <w:rPr>
          <w:rFonts w:ascii="Segoe UI" w:cs="Segoe UI" w:hAnsi="Segoe UI" w:eastAsia="Segoe UI"/>
          <w:b w:val="1"/>
          <w:bCs w:val="1"/>
          <w:kern w:val="0"/>
          <w:sz w:val="18"/>
          <w:szCs w:val="18"/>
        </w:rPr>
      </w:pPr>
      <w:r>
        <w:rPr>
          <w:rFonts w:ascii="Times New Roman" w:hAnsi="Times New Roman"/>
          <w:kern w:val="0"/>
          <w:sz w:val="20"/>
          <w:szCs w:val="20"/>
          <w:rtl w:val="0"/>
          <w:lang w:val="it-IT"/>
        </w:rPr>
        <w:t>Approvals:</w:t>
      </w:r>
      <w:r>
        <w:rPr>
          <w:rFonts w:ascii="Calibri" w:cs="Calibri" w:hAnsi="Calibri" w:eastAsia="Calibri"/>
          <w:kern w:val="0"/>
          <w:sz w:val="20"/>
          <w:szCs w:val="20"/>
        </w:rPr>
        <w:tab/>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2"/>
          <w:szCs w:val="2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8"/>
          <w:szCs w:val="18"/>
          <w:rtl w:val="0"/>
          <w:lang w:val="en-US"/>
        </w:rPr>
        <w:t> </w:t>
      </w:r>
    </w:p>
    <w:p>
      <w:pPr>
        <w:pStyle w:val="Body"/>
        <w:spacing w:after="0" w:line="240" w:lineRule="auto"/>
        <w:ind w:left="135" w:firstLine="0"/>
        <w:rPr>
          <w:rFonts w:ascii="Segoe UI" w:cs="Segoe UI" w:hAnsi="Segoe UI" w:eastAsia="Segoe UI"/>
          <w:kern w:val="0"/>
          <w:sz w:val="18"/>
          <w:szCs w:val="18"/>
        </w:rPr>
      </w:pPr>
      <w:r>
        <w:rPr>
          <w:rFonts w:ascii="Times New Roman" w:hAnsi="Times New Roman"/>
          <w:kern w:val="0"/>
          <w:sz w:val="20"/>
          <w:szCs w:val="20"/>
          <w:rtl w:val="0"/>
          <w:lang w:val="en-US"/>
        </w:rPr>
        <w:t>Dear Sir or Madam:</w:t>
      </w:r>
      <w:r>
        <w:rPr>
          <w:rFonts w:ascii="Times New Roman" w:hAnsi="Times New Roman" w:hint="default"/>
          <w:kern w:val="0"/>
          <w:sz w:val="20"/>
          <w:szCs w:val="20"/>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 xml:space="preserve">This is an existing Verizon telecommunication Facility </w:t>
      </w:r>
      <w:r>
        <w:rPr>
          <w:rFonts w:ascii="Times New Roman" w:hAnsi="Times New Roman"/>
          <w:kern w:val="0"/>
          <w:sz w:val="20"/>
          <w:szCs w:val="20"/>
          <w:rtl w:val="0"/>
          <w:lang w:val="en-US"/>
        </w:rPr>
        <w:t xml:space="preserve">that </w:t>
      </w:r>
      <w:r>
        <w:rPr>
          <w:rFonts w:ascii="Times New Roman" w:hAnsi="Times New Roman"/>
          <w:kern w:val="0"/>
          <w:sz w:val="20"/>
          <w:szCs w:val="20"/>
          <w:rtl w:val="0"/>
          <w:lang w:val="en-US"/>
        </w:rPr>
        <w:t>Verizon is looking to add 4 microwave antennas to the shelter no work is to be done on the tower.</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Applicant:</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Verizon Wireless</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a-DK"/>
        </w:rPr>
        <w:t>10000 PARK MEADOWS DR,</w:t>
      </w:r>
      <w:r>
        <w:rPr>
          <w:rFonts w:ascii="Times New Roman" w:hAnsi="Times New Roman" w:hint="default"/>
          <w:sz w:val="22"/>
          <w:szCs w:val="22"/>
          <w:shd w:val="clear" w:color="auto" w:fill="ffffff"/>
          <w:rtl w:val="0"/>
        </w:rPr>
        <w:t>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SUITE 300 LONE TREE, CO 80124</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 xml:space="preserve">MODIFICATION OF EXISTING VERIZON WIRELESS (VZW) TELECOMMUNICATIONS SITE CONSISTS OF: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SCOPE OF WORK AT SHELTER:</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-INSTALL (X4) RADIO LINK, ERICSSON MINI-LINK 6651</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-INSTALL (X1) REMOTE RADIO UNIT, ERICSSON RMU-INSTALL (X1) TEMPERATURE SENSOR</w:t>
      </w:r>
      <w:r>
        <w:rPr>
          <w:rFonts w:ascii="Times New Roman" w:hAnsi="Times New Roman" w:hint="default"/>
          <w:sz w:val="22"/>
          <w:szCs w:val="22"/>
          <w:shd w:val="clear" w:color="auto" w:fill="ffffff"/>
          <w:rtl w:val="0"/>
        </w:rPr>
        <w:t>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SCOPE OF WORK AT ROOF:</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-INSTALL (X4) MICROWAVE ANTENNAS, ERICSSON BFZ62251/3S09H</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-INSTALL (X4) RADIOS, ERICSSON MINI-LINK 6366</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-INSTALL (X4) ANTENNA MOUNTS, ERICSSON NTK 301 1205/1</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-INSTALL (N) CONDUIT and (N) NON-PENETRATING CONDUIT MOUNTS</w:t>
      </w:r>
    </w:p>
    <w:p>
      <w:pPr>
        <w:pStyle w:val="Body"/>
        <w:spacing w:after="0" w:line="240" w:lineRule="auto"/>
        <w:rPr>
          <w:rFonts w:ascii="Segoe UI" w:cs="Segoe UI" w:hAnsi="Segoe UI" w:eastAsia="Segoe UI"/>
          <w:kern w:val="0"/>
          <w:sz w:val="18"/>
          <w:szCs w:val="18"/>
        </w:rPr>
      </w:pPr>
    </w:p>
    <w:p>
      <w:pPr>
        <w:pStyle w:val="Body"/>
        <w:spacing w:after="0" w:line="240" w:lineRule="auto"/>
        <w:ind w:left="135" w:firstLine="0"/>
        <w:rPr>
          <w:rFonts w:ascii="Segoe UI" w:cs="Segoe UI" w:hAnsi="Segoe UI" w:eastAsia="Segoe UI"/>
          <w:kern w:val="0"/>
          <w:sz w:val="18"/>
          <w:szCs w:val="18"/>
        </w:rPr>
      </w:pPr>
      <w:r>
        <w:rPr>
          <w:rFonts w:ascii="Times New Roman" w:hAnsi="Times New Roman"/>
          <w:kern w:val="0"/>
          <w:sz w:val="20"/>
          <w:szCs w:val="20"/>
          <w:rtl w:val="0"/>
          <w:lang w:val="en-US"/>
        </w:rPr>
        <w:t>All of the work will be done within the leased area.</w:t>
      </w:r>
      <w:r>
        <w:rPr>
          <w:rFonts w:ascii="Times New Roman" w:hAnsi="Times New Roman" w:hint="default"/>
          <w:kern w:val="0"/>
          <w:sz w:val="20"/>
          <w:szCs w:val="20"/>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9"/>
          <w:szCs w:val="19"/>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Please feel free to contact me if you have any questions regarding this project.</w:t>
      </w: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Thank you,</w:t>
      </w: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b w:val="1"/>
          <w:bCs w:val="1"/>
          <w:outline w:val="0"/>
          <w:color w:val="000000"/>
          <w:kern w:val="0"/>
          <w:sz w:val="22"/>
          <w:szCs w:val="22"/>
          <w:u w:color="000000"/>
          <w:rtl w:val="0"/>
          <w:lang w:val="da-DK"/>
          <w14:textFill>
            <w14:solidFill>
              <w14:srgbClr w14:val="000000"/>
            </w14:solidFill>
          </w14:textFill>
        </w:rPr>
        <w:t>Jen Daniels</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it-IT"/>
          <w14:textFill>
            <w14:solidFill>
              <w14:srgbClr w14:val="000000"/>
            </w14:solidFill>
          </w14:textFill>
        </w:rPr>
        <w:t>Site Acquisition</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en-US"/>
          <w14:textFill>
            <w14:solidFill>
              <w14:srgbClr w14:val="000000"/>
            </w14:solidFill>
          </w14:textFill>
        </w:rPr>
        <w:t>Project Manager</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14:textFill>
            <w14:solidFill>
              <w14:srgbClr w14:val="000000"/>
            </w14:solidFill>
          </w14:textFill>
        </w:rPr>
        <w:t>1065 Poplar Street</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en-US"/>
          <w14:textFill>
            <w14:solidFill>
              <w14:srgbClr w14:val="000000"/>
            </w14:solidFill>
          </w14:textFill>
        </w:rPr>
        <w:t>Johnstown, CO 80534</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14:textFill>
            <w14:solidFill>
              <w14:srgbClr w14:val="000000"/>
            </w14:solidFill>
          </w14:textFill>
        </w:rPr>
        <w:t>303-550-4820</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Style w:val="None"/>
          <w:rFonts w:ascii="Segoe UI" w:cs="Segoe UI" w:hAnsi="Segoe UI" w:eastAsia="Segoe UI"/>
          <w:kern w:val="0"/>
          <w:sz w:val="18"/>
          <w:szCs w:val="18"/>
          <w:lang w:val="en-US"/>
        </w:rPr>
      </w:pPr>
      <w:r>
        <w:rPr>
          <w:rStyle w:val="Hyperlink.0"/>
        </w:rPr>
        <w:fldChar w:fldCharType="begin" w:fldLock="0"/>
      </w:r>
      <w:r>
        <w:rPr>
          <w:rStyle w:val="Hyperlink.0"/>
        </w:rPr>
        <w:instrText xml:space="preserve"> HYPERLINK "mailto:jdaniels@totalsiteservicesinc.com"</w:instrText>
      </w:r>
      <w:r>
        <w:rPr>
          <w:rStyle w:val="Hyperlink.0"/>
        </w:rPr>
        <w:fldChar w:fldCharType="separate" w:fldLock="0"/>
      </w:r>
      <w:r>
        <w:rPr>
          <w:rStyle w:val="Hyperlink.0"/>
          <w:rtl w:val="0"/>
          <w:lang w:val="it-IT"/>
        </w:rPr>
        <w:t>jdaniels@totalsiteservicesinc.com</w:t>
      </w:r>
      <w:r>
        <w:rPr/>
        <w:fldChar w:fldCharType="end" w:fldLock="0"/>
      </w:r>
      <w:r>
        <w:rPr>
          <w:rStyle w:val="None"/>
          <w:rFonts w:ascii="Times New Roman" w:hAnsi="Times New Roman" w:hint="default"/>
          <w:kern w:val="0"/>
          <w:sz w:val="22"/>
          <w:szCs w:val="22"/>
          <w:rtl w:val="0"/>
          <w:lang w:val="en-US"/>
        </w:rPr>
        <w:t> </w:t>
      </w:r>
    </w:p>
    <w:p>
      <w:pPr>
        <w:pStyle w:val="Body"/>
        <w:shd w:val="clear" w:color="auto" w:fill="ffffff"/>
        <w:spacing w:after="0" w:line="240" w:lineRule="auto"/>
        <w:rPr>
          <w:rStyle w:val="None"/>
          <w:rFonts w:ascii="Segoe UI" w:cs="Segoe UI" w:hAnsi="Segoe UI" w:eastAsia="Segoe UI"/>
          <w:b w:val="1"/>
          <w:bCs w:val="1"/>
          <w:kern w:val="0"/>
          <w:sz w:val="18"/>
          <w:szCs w:val="18"/>
        </w:rPr>
      </w:pPr>
      <w:r>
        <w:rPr>
          <w:rStyle w:val="None"/>
          <w:rFonts w:ascii="Times New Roman" w:hAnsi="Times New Roman"/>
          <w:b w:val="1"/>
          <w:bCs w:val="1"/>
          <w:kern w:val="0"/>
          <w:rtl w:val="0"/>
          <w:lang w:val="en-US"/>
        </w:rPr>
        <w:t>FCC Rules for Eligible Facilities Requests</w:t>
      </w:r>
      <w:r>
        <w:rPr>
          <w:rStyle w:val="None"/>
          <w:rFonts w:ascii="Times New Roman" w:hAnsi="Times New Roman" w:hint="default"/>
          <w:b w:val="1"/>
          <w:bCs w:val="1"/>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20"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The Spectrum Act states that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a State or local government may not deny, and shall approve, any eligible facilities request for a modification of an existing wireless tower or base station that does not substantially change the physical dimensions of such tower or base station.</w:t>
      </w:r>
      <w:r>
        <w:rPr>
          <w:rStyle w:val="None"/>
          <w:rFonts w:ascii="Times New Roman" w:hAnsi="Times New Roman" w:hint="default"/>
          <w:kern w:val="0"/>
          <w:sz w:val="20"/>
          <w:szCs w:val="20"/>
          <w:rtl w:val="0"/>
          <w:lang w:val="en-US"/>
        </w:rPr>
        <w:t>”</w:t>
      </w:r>
      <w:r>
        <w:rPr>
          <w:rStyle w:val="None"/>
          <w:rFonts w:ascii="Times New Roman" w:hAnsi="Times New Roman"/>
          <w:kern w:val="0"/>
          <w:sz w:val="16"/>
          <w:szCs w:val="16"/>
          <w:vertAlign w:val="superscript"/>
          <w:rtl w:val="0"/>
        </w:rPr>
        <w:t>1</w:t>
      </w:r>
      <w:r>
        <w:rPr>
          <w:rStyle w:val="None"/>
          <w:rFonts w:ascii="Times New Roman" w:hAnsi="Times New Roman"/>
          <w:kern w:val="0"/>
          <w:sz w:val="20"/>
          <w:szCs w:val="20"/>
          <w:rtl w:val="0"/>
        </w:rPr>
        <w:t xml:space="preserve"> An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eligible facilities request</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is defined to include any collocation, removal, or replacement of existing equipment.</w:t>
      </w:r>
      <w:r>
        <w:rPr>
          <w:rStyle w:val="None"/>
          <w:rFonts w:ascii="Times New Roman" w:hAnsi="Times New Roman"/>
          <w:kern w:val="0"/>
          <w:sz w:val="16"/>
          <w:szCs w:val="16"/>
          <w:vertAlign w:val="superscript"/>
          <w:rtl w:val="0"/>
        </w:rPr>
        <w:t>2</w:t>
      </w:r>
      <w:r>
        <w:rPr>
          <w:rStyle w:val="None"/>
          <w:rFonts w:ascii="Times New Roman" w:hAnsi="Times New Roman" w:hint="default"/>
          <w:kern w:val="0"/>
          <w:sz w:val="16"/>
          <w:szCs w:val="16"/>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7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The FCC adopted rules providing legally binding guidance on key terms of the Spectrum Act, notably defining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with the six thresholds described below.</w:t>
      </w:r>
      <w:r>
        <w:rPr>
          <w:rStyle w:val="None"/>
          <w:rFonts w:ascii="Times New Roman" w:hAnsi="Times New Roman"/>
          <w:kern w:val="0"/>
          <w:sz w:val="16"/>
          <w:szCs w:val="16"/>
          <w:vertAlign w:val="superscript"/>
          <w:rtl w:val="0"/>
        </w:rPr>
        <w:t>3</w:t>
      </w:r>
      <w:r>
        <w:rPr>
          <w:rStyle w:val="None"/>
          <w:rFonts w:ascii="Times New Roman" w:hAnsi="Times New Roman"/>
          <w:kern w:val="0"/>
          <w:sz w:val="20"/>
          <w:szCs w:val="20"/>
          <w:rtl w:val="0"/>
          <w:lang w:val="en-US"/>
        </w:rPr>
        <w:t xml:space="preserve"> The FCC requires that qualifying eligible facilities requests be approved within 60 days, subject to tolling for incompleteness.</w:t>
      </w:r>
      <w:r>
        <w:rPr>
          <w:rStyle w:val="None"/>
          <w:rFonts w:ascii="Times New Roman" w:hAnsi="Times New Roman"/>
          <w:kern w:val="0"/>
          <w:sz w:val="16"/>
          <w:szCs w:val="16"/>
          <w:vertAlign w:val="superscript"/>
          <w:rtl w:val="0"/>
        </w:rPr>
        <w:t>4</w:t>
      </w:r>
      <w:r>
        <w:rPr>
          <w:rStyle w:val="None"/>
          <w:rFonts w:ascii="Times New Roman" w:hAnsi="Times New Roman"/>
          <w:kern w:val="0"/>
          <w:sz w:val="20"/>
          <w:szCs w:val="20"/>
          <w:rtl w:val="0"/>
          <w:lang w:val="en-US"/>
        </w:rPr>
        <w:t xml:space="preserve"> The 60-day period begins when an applicant takes the first procedural step required by a local government, and submits written documentation.</w:t>
      </w:r>
      <w:r>
        <w:rPr>
          <w:rStyle w:val="None"/>
          <w:rFonts w:ascii="Times New Roman" w:hAnsi="Times New Roman"/>
          <w:kern w:val="0"/>
          <w:sz w:val="16"/>
          <w:szCs w:val="16"/>
          <w:vertAlign w:val="superscript"/>
          <w:rtl w:val="0"/>
        </w:rPr>
        <w:t>5</w:t>
      </w:r>
      <w:r>
        <w:rPr>
          <w:rStyle w:val="None"/>
          <w:rFonts w:ascii="Times New Roman" w:hAnsi="Times New Roman"/>
          <w:kern w:val="0"/>
          <w:sz w:val="20"/>
          <w:szCs w:val="20"/>
          <w:rtl w:val="0"/>
          <w:lang w:val="en-US"/>
        </w:rPr>
        <w:t xml:space="preserve"> The only submittal documents a local government can require are those relevant to determining if a proposed modification qualifies as an eligible facilities request.</w:t>
      </w:r>
      <w:r>
        <w:rPr>
          <w:rStyle w:val="None"/>
          <w:rFonts w:ascii="Times New Roman" w:hAnsi="Times New Roman"/>
          <w:kern w:val="0"/>
          <w:sz w:val="16"/>
          <w:szCs w:val="16"/>
          <w:vertAlign w:val="superscript"/>
          <w:rtl w:val="0"/>
        </w:rPr>
        <w:t>6</w:t>
      </w:r>
      <w:r>
        <w:rPr>
          <w:rStyle w:val="None"/>
          <w:rFonts w:ascii="Times New Roman" w:hAnsi="Times New Roman"/>
          <w:kern w:val="0"/>
          <w:sz w:val="20"/>
          <w:szCs w:val="20"/>
          <w:rtl w:val="0"/>
          <w:lang w:val="en-US"/>
        </w:rPr>
        <w:t xml:space="preserve"> If a local government does not render a decision within the 60-day period, an eligible facilities request can be deemed granted by operation of law.</w:t>
      </w:r>
      <w:r>
        <w:rPr>
          <w:rStyle w:val="None"/>
          <w:rFonts w:ascii="Times New Roman" w:hAnsi="Times New Roman"/>
          <w:kern w:val="0"/>
          <w:sz w:val="16"/>
          <w:szCs w:val="16"/>
          <w:vertAlign w:val="superscript"/>
          <w:rtl w:val="0"/>
        </w:rPr>
        <w:t>7</w:t>
      </w:r>
      <w:r>
        <w:rPr>
          <w:rStyle w:val="None"/>
          <w:rFonts w:ascii="Times New Roman" w:hAnsi="Times New Roman" w:hint="default"/>
          <w:kern w:val="0"/>
          <w:sz w:val="16"/>
          <w:szCs w:val="16"/>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b w:val="1"/>
          <w:bCs w:val="1"/>
          <w:kern w:val="0"/>
          <w:sz w:val="18"/>
          <w:szCs w:val="18"/>
        </w:rPr>
      </w:pPr>
      <w:r>
        <w:rPr>
          <w:rStyle w:val="None"/>
          <w:rFonts w:ascii="Times New Roman" w:hAnsi="Times New Roman"/>
          <w:b w:val="1"/>
          <w:bCs w:val="1"/>
          <w:kern w:val="0"/>
          <w:rtl w:val="0"/>
          <w:lang w:val="en-US"/>
        </w:rPr>
        <w:t xml:space="preserve">The Proposed Modification Does Not Constitute a </w:t>
      </w:r>
      <w:r>
        <w:rPr>
          <w:rStyle w:val="None"/>
          <w:rFonts w:ascii="Times New Roman" w:hAnsi="Times New Roman" w:hint="default"/>
          <w:b w:val="1"/>
          <w:bCs w:val="1"/>
          <w:kern w:val="0"/>
          <w:rtl w:val="0"/>
          <w:lang w:val="en-US"/>
        </w:rPr>
        <w:t>“</w:t>
      </w:r>
      <w:r>
        <w:rPr>
          <w:rStyle w:val="None"/>
          <w:rFonts w:ascii="Times New Roman" w:hAnsi="Times New Roman"/>
          <w:b w:val="1"/>
          <w:bCs w:val="1"/>
          <w:kern w:val="0"/>
          <w:rtl w:val="0"/>
          <w:lang w:val="en-US"/>
        </w:rPr>
        <w:t>Substantial Change</w:t>
      </w:r>
      <w:r>
        <w:rPr>
          <w:rStyle w:val="None"/>
          <w:rFonts w:ascii="Times New Roman" w:hAnsi="Times New Roman" w:hint="default"/>
          <w:b w:val="1"/>
          <w:bCs w:val="1"/>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6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Below are the FCC</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 xml:space="preserve">s six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thresholds for a wireless base station,</w:t>
      </w:r>
      <w:r>
        <w:rPr>
          <w:rStyle w:val="None"/>
          <w:rFonts w:ascii="Times New Roman" w:hAnsi="Times New Roman"/>
          <w:kern w:val="0"/>
          <w:sz w:val="16"/>
          <w:szCs w:val="16"/>
          <w:vertAlign w:val="superscript"/>
          <w:rtl w:val="0"/>
        </w:rPr>
        <w:t>8</w:t>
      </w:r>
      <w:r>
        <w:rPr>
          <w:rStyle w:val="None"/>
          <w:rFonts w:ascii="Times New Roman" w:hAnsi="Times New Roman"/>
          <w:kern w:val="0"/>
          <w:sz w:val="20"/>
          <w:szCs w:val="20"/>
          <w:rtl w:val="0"/>
          <w:lang w:val="en-US"/>
        </w:rPr>
        <w:t xml:space="preserve"> each followed by an explanation that the proposed modification does not exceed that threshold.</w:t>
      </w: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2"/>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increases the height of the structure by more than 10% or more than ten feet, whichever is greater.</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The height of the structure is not changing.</w:t>
      </w:r>
      <w:r>
        <w:rPr>
          <w:rStyle w:val="None"/>
          <w:rFonts w:ascii="Times New Roman" w:hAnsi="Times New Roman" w:hint="default"/>
          <w:i w:val="1"/>
          <w:iCs w:val="1"/>
          <w:kern w:val="0"/>
          <w:rtl w:val="0"/>
          <w:lang w:val="en-US"/>
        </w:rPr>
        <w:t> </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5"/>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involves adding an appurtenance to the body of the structure that would protrude from the edge of the structure by more than six feet.</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855"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The antenna will not protrude more than 6 feet from the edge of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rtl w:val="0"/>
          <w:lang w:val="en-US"/>
        </w:rPr>
        <w:t> </w:t>
      </w:r>
    </w:p>
    <w:p>
      <w:pPr>
        <w:pStyle w:val="Body"/>
        <w:numPr>
          <w:ilvl w:val="0"/>
          <w:numId w:val="8"/>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involves the installation of more than the standard number of new equipment cabinets for the technology involved, but not to exceed four; or, it involves installation of any new equipment cabinets on the ground if there are no pre-existing ground cabinets associated with the structure, or else involves installation of ground cabinets that are more than 10% larger in height or overall volume than any other ground cabinets associated with the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855" w:firstLine="0"/>
        <w:rPr>
          <w:rStyle w:val="None"/>
          <w:rFonts w:ascii="Segoe UI" w:cs="Segoe UI" w:hAnsi="Segoe UI" w:eastAsia="Segoe UI"/>
          <w:kern w:val="0"/>
          <w:sz w:val="18"/>
          <w:szCs w:val="18"/>
        </w:rPr>
      </w:pPr>
      <w:r>
        <w:rPr>
          <w:rStyle w:val="None"/>
          <w:rFonts w:ascii="Times New Roman" w:hAnsi="Times New Roman"/>
          <w:i w:val="1"/>
          <w:iCs w:val="1"/>
          <w:kern w:val="0"/>
          <w:rtl w:val="0"/>
        </w:rPr>
        <w:t>N</w:t>
      </w:r>
      <w:r>
        <w:rPr>
          <w:rStyle w:val="None"/>
          <w:rFonts w:ascii="Times New Roman" w:hAnsi="Times New Roman"/>
          <w:i w:val="1"/>
          <w:iCs w:val="1"/>
          <w:kern w:val="0"/>
          <w:rtl w:val="0"/>
          <w:lang w:val="en-US"/>
        </w:rPr>
        <w:t>o n</w:t>
      </w:r>
      <w:r>
        <w:rPr>
          <w:rStyle w:val="None"/>
          <w:rFonts w:ascii="Times New Roman" w:hAnsi="Times New Roman"/>
          <w:i w:val="1"/>
          <w:iCs w:val="1"/>
          <w:kern w:val="0"/>
          <w:rtl w:val="0"/>
          <w:lang w:val="en-US"/>
        </w:rPr>
        <w:t>ew battery cabinet installed</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right="1425"/>
        <w:rPr>
          <w:rStyle w:val="None"/>
          <w:rFonts w:ascii="Segoe UI" w:cs="Segoe UI" w:hAnsi="Segoe UI" w:eastAsia="Segoe UI"/>
          <w:kern w:val="0"/>
          <w:sz w:val="18"/>
          <w:szCs w:val="18"/>
        </w:rPr>
      </w:pPr>
      <w:r>
        <w:rPr>
          <w:rStyle w:val="None"/>
          <w:rFonts w:ascii="Times New Roman" w:hAnsi="Times New Roman" w:hint="default"/>
          <w:kern w:val="0"/>
          <w:rtl w:val="0"/>
          <w:lang w:val="en-US"/>
        </w:rPr>
        <w:t> </w:t>
      </w:r>
    </w:p>
    <w:p>
      <w:pPr>
        <w:pStyle w:val="Body"/>
        <w:numPr>
          <w:ilvl w:val="0"/>
          <w:numId w:val="11"/>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entails any excavation or deployment outside the current site within 30</w:t>
      </w:r>
      <w:r>
        <w:rPr>
          <w:rStyle w:val="None"/>
          <w:rFonts w:ascii="Times New Roman" w:hAnsi="Times New Roman" w:hint="default"/>
          <w:kern w:val="0"/>
          <w:rtl w:val="0"/>
          <w:lang w:val="en-US"/>
        </w:rPr>
        <w:t xml:space="preserve">’ </w:t>
      </w:r>
      <w:r>
        <w:rPr>
          <w:rStyle w:val="None"/>
          <w:rFonts w:ascii="Times New Roman" w:hAnsi="Times New Roman"/>
          <w:kern w:val="0"/>
          <w:rtl w:val="0"/>
          <w:lang w:val="en-US"/>
        </w:rPr>
        <w:t xml:space="preserve">of the existing lease area (as defined at 47 C.F.R. </w:t>
      </w:r>
      <w:r>
        <w:rPr>
          <w:rStyle w:val="None"/>
          <w:rFonts w:ascii="Times New Roman" w:hAnsi="Times New Roman" w:hint="default"/>
          <w:kern w:val="0"/>
          <w:rtl w:val="0"/>
          <w:lang w:val="en-US"/>
        </w:rPr>
        <w:t xml:space="preserve">§ </w:t>
      </w:r>
      <w:r>
        <w:rPr>
          <w:rStyle w:val="None"/>
          <w:rFonts w:ascii="Times New Roman" w:hAnsi="Times New Roman"/>
          <w:kern w:val="0"/>
          <w:rtl w:val="0"/>
        </w:rPr>
        <w:t>1.6100(b)(7)(iv).</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No excavation is required for this modification.</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14"/>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Would defeat the concealment elements of the eligible support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The proposed modifications will not defeat the concealment elements.</w:t>
      </w:r>
      <w:r>
        <w:rPr>
          <w:rStyle w:val="None"/>
          <w:rFonts w:ascii="Times New Roman" w:hAnsi="Times New Roman" w:hint="default"/>
          <w:i w:val="1"/>
          <w:iCs w:val="1"/>
          <w:kern w:val="0"/>
          <w:rtl w:val="0"/>
          <w:lang w:val="en-US"/>
        </w:rPr>
        <w:t> </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17"/>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Does not comply with conditions associated with the siting approval of the construction or modification of the existing facility, unless the non- compliance is due only to a change in height, width, etc., that does not exceed the first four thresholds.</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 xml:space="preserve">There are no prior conditions of approval that would render the modification to be non-compliant, aside from any conditions that would be preempted by the first four </w:t>
      </w:r>
      <w:r>
        <w:rPr>
          <w:rStyle w:val="None"/>
          <w:rFonts w:ascii="Times New Roman" w:hAnsi="Times New Roman" w:hint="default"/>
          <w:i w:val="1"/>
          <w:iCs w:val="1"/>
          <w:kern w:val="0"/>
          <w:rtl w:val="0"/>
          <w:lang w:val="en-US"/>
        </w:rPr>
        <w:t>“</w:t>
      </w:r>
      <w:r>
        <w:rPr>
          <w:rStyle w:val="None"/>
          <w:rFonts w:ascii="Times New Roman" w:hAnsi="Times New Roman"/>
          <w:i w:val="1"/>
          <w:iCs w:val="1"/>
          <w:kern w:val="0"/>
          <w:rtl w:val="0"/>
          <w:lang w:val="en-US"/>
        </w:rPr>
        <w:t>substantial change</w:t>
      </w:r>
      <w:r>
        <w:rPr>
          <w:rStyle w:val="None"/>
          <w:rFonts w:ascii="Times New Roman" w:hAnsi="Times New Roman" w:hint="default"/>
          <w:i w:val="1"/>
          <w:iCs w:val="1"/>
          <w:kern w:val="0"/>
          <w:rtl w:val="0"/>
          <w:lang w:val="en-US"/>
        </w:rPr>
        <w:t xml:space="preserve">” </w:t>
      </w:r>
      <w:r>
        <w:rPr>
          <w:rStyle w:val="None"/>
          <w:rFonts w:ascii="Times New Roman" w:hAnsi="Times New Roman"/>
          <w:i w:val="1"/>
          <w:iCs w:val="1"/>
          <w:kern w:val="0"/>
          <w:rtl w:val="0"/>
          <w:lang w:val="en-US"/>
        </w:rPr>
        <w:t>thresholds.</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50"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In sum, the modification qualifies as an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eligible facilities request</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 xml:space="preserve">under the Spectrum Act and FCC rules as it does not exceed any of the thresholds such that it would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substantially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the physical dimensions of the existing site. Failure to process this eligible facilities request and approve all necessary permits within 60 days may result in the request being deemed granted by operation of law.</w:t>
      </w: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Segoe UI" w:cs="Segoe UI" w:hAnsi="Segoe UI" w:eastAsia="Segoe UI"/>
          <w:kern w:val="0"/>
          <w:sz w:val="18"/>
          <w:szCs w:val="18"/>
        </w:rPr>
        <w:drawing xmlns:a="http://schemas.openxmlformats.org/drawingml/2006/main">
          <wp:inline distT="0" distB="0" distL="0" distR="0">
            <wp:extent cx="1838325" cy="19050"/>
            <wp:effectExtent l="0" t="0" r="0" b="0"/>
            <wp:docPr id="1073741825" name="officeArt object" descr="Shape"/>
            <wp:cNvGraphicFramePr/>
            <a:graphic xmlns:a="http://schemas.openxmlformats.org/drawingml/2006/main">
              <a:graphicData uri="http://schemas.openxmlformats.org/drawingml/2006/picture">
                <pic:pic xmlns:pic="http://schemas.openxmlformats.org/drawingml/2006/picture">
                  <pic:nvPicPr>
                    <pic:cNvPr id="1073741825" name="Shape" descr="Shape"/>
                    <pic:cNvPicPr>
                      <a:picLocks noChangeAspect="1"/>
                    </pic:cNvPicPr>
                  </pic:nvPicPr>
                  <pic:blipFill>
                    <a:blip r:embed="rId4">
                      <a:extLst/>
                    </a:blip>
                    <a:stretch>
                      <a:fillRect/>
                    </a:stretch>
                  </pic:blipFill>
                  <pic:spPr>
                    <a:xfrm>
                      <a:off x="0" y="0"/>
                      <a:ext cx="1838325" cy="19050"/>
                    </a:xfrm>
                    <a:prstGeom prst="rect">
                      <a:avLst/>
                    </a:prstGeom>
                    <a:ln w="12700" cap="flat">
                      <a:noFill/>
                      <a:miter lim="400000"/>
                    </a:ln>
                    <a:effectLst/>
                  </pic:spPr>
                </pic:pic>
              </a:graphicData>
            </a:graphic>
          </wp:inline>
        </w:drawing>
      </w:r>
      <w:r>
        <w:rPr>
          <w:rStyle w:val="None"/>
          <w:rFonts w:ascii="Times New Roman" w:hAnsi="Times New Roman" w:hint="default"/>
          <w:kern w:val="0"/>
          <w:sz w:val="16"/>
          <w:szCs w:val="16"/>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1</w:t>
      </w:r>
      <w:r>
        <w:rPr>
          <w:rStyle w:val="None"/>
          <w:rFonts w:ascii="Times New Roman" w:hAnsi="Times New Roman"/>
          <w:kern w:val="0"/>
          <w:sz w:val="20"/>
          <w:szCs w:val="20"/>
          <w:rtl w:val="0"/>
          <w:lang w:val="it-IT"/>
        </w:rPr>
        <w:t xml:space="preserve"> 47 U.S.C.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1455(a)(1).</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2</w:t>
      </w:r>
      <w:r>
        <w:rPr>
          <w:rStyle w:val="None"/>
          <w:rFonts w:ascii="Times New Roman" w:hAnsi="Times New Roman"/>
          <w:kern w:val="0"/>
          <w:sz w:val="20"/>
          <w:szCs w:val="20"/>
          <w:rtl w:val="0"/>
          <w:lang w:val="it-IT"/>
        </w:rPr>
        <w:t xml:space="preserve"> 47 U.S.C.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1455(a)(2).</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3</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en-US"/>
        </w:rPr>
        <w:t xml:space="preserve">Report and Order FCC 14-153, 29 FCC Rcd. 12865 (FCC October 17, 2014); </w:t>
      </w:r>
      <w:r>
        <w:rPr>
          <w:rStyle w:val="None"/>
          <w:rFonts w:ascii="Times New Roman" w:hAnsi="Times New Roman"/>
          <w:i w:val="1"/>
          <w:iCs w:val="1"/>
          <w:kern w:val="0"/>
          <w:sz w:val="20"/>
          <w:szCs w:val="20"/>
          <w:rtl w:val="0"/>
          <w:lang w:val="en-US"/>
        </w:rPr>
        <w:t xml:space="preserve">see also </w:t>
      </w:r>
      <w:r>
        <w:rPr>
          <w:rStyle w:val="None"/>
          <w:rFonts w:ascii="Times New Roman" w:hAnsi="Times New Roman"/>
          <w:kern w:val="0"/>
          <w:sz w:val="20"/>
          <w:szCs w:val="20"/>
          <w:rtl w:val="0"/>
          <w:lang w:val="en-US"/>
        </w:rPr>
        <w:t>Report and</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Order FCC 20-153, 85 FR 78005 (FCC October 27, 2020).</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4</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1.6100(c)(2), (3).</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5</w:t>
      </w:r>
      <w:r>
        <w:rPr>
          <w:rStyle w:val="None"/>
          <w:rFonts w:ascii="Times New Roman" w:hAnsi="Times New Roman"/>
          <w:kern w:val="0"/>
          <w:sz w:val="20"/>
          <w:szCs w:val="20"/>
          <w:rtl w:val="0"/>
          <w:lang w:val="en-US"/>
        </w:rPr>
        <w:t xml:space="preserve"> Declaratory Ruling 20-75, 35 FCC Rcd 5977,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16 (FCC June 9, 2020).</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6</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1.6100(c)(1).</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7</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1.6100(c)(4).</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8</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1.6100(b)(7).</w:t>
      </w:r>
      <w:r>
        <w:rPr>
          <w:rStyle w:val="None"/>
          <w:rFonts w:ascii="Times New Roman" w:hAnsi="Times New Roman" w:hint="default"/>
          <w:kern w:val="0"/>
          <w:sz w:val="20"/>
          <w:szCs w:val="20"/>
          <w:rtl w:val="0"/>
          <w:lang w:val="en-US"/>
        </w:rPr>
        <w:t> </w:t>
      </w:r>
    </w:p>
    <w:p>
      <w:pPr>
        <w:pStyle w:val="Body"/>
        <w:spacing w:after="0" w:line="240" w:lineRule="auto"/>
        <w:ind w:left="135" w:right="180" w:firstLine="0"/>
      </w:pPr>
      <w:r>
        <w:rPr>
          <w:rStyle w:val="None"/>
          <w:rFonts w:ascii="Times New Roman" w:hAnsi="Times New Roman" w:hint="default"/>
          <w:kern w:val="0"/>
          <w:sz w:val="20"/>
          <w:szCs w:val="20"/>
          <w:rtl w:val="0"/>
          <w:lang w:val="en-US"/>
        </w:rPr>
        <w:t> </w:t>
      </w:r>
      <w:r>
        <w:rPr>
          <w:rStyle w:val="None"/>
          <w:rFonts w:ascii="Segoe UI" w:cs="Segoe UI" w:hAnsi="Segoe UI" w:eastAsia="Segoe UI"/>
          <w:kern w:val="0"/>
          <w:sz w:val="18"/>
          <w:szCs w:val="18"/>
        </w:rPr>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 w:name="Segoe UI">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startOverride w:val="2"/>
    </w:lvlOverride>
  </w:num>
  <w:num w:numId="6">
    <w:abstractNumId w:val="5"/>
  </w:num>
  <w:num w:numId="7">
    <w:abstractNumId w:val="4"/>
  </w:num>
  <w:num w:numId="8">
    <w:abstractNumId w:val="4"/>
    <w:lvlOverride w:ilvl="0">
      <w:startOverride w:val="3"/>
    </w:lvlOverride>
  </w:num>
  <w:num w:numId="9">
    <w:abstractNumId w:val="7"/>
  </w:num>
  <w:num w:numId="10">
    <w:abstractNumId w:val="6"/>
  </w:num>
  <w:num w:numId="11">
    <w:abstractNumId w:val="6"/>
    <w:lvlOverride w:ilvl="0">
      <w:startOverride w:val="4"/>
    </w:lvlOverride>
  </w:num>
  <w:num w:numId="12">
    <w:abstractNumId w:val="9"/>
  </w:num>
  <w:num w:numId="13">
    <w:abstractNumId w:val="8"/>
  </w:num>
  <w:num w:numId="14">
    <w:abstractNumId w:val="8"/>
    <w:lvlOverride w:ilvl="0">
      <w:startOverride w:val="5"/>
    </w:lvlOverride>
  </w:num>
  <w:num w:numId="15">
    <w:abstractNumId w:val="11"/>
  </w:num>
  <w:num w:numId="16">
    <w:abstractNumId w:val="10"/>
  </w:num>
  <w:num w:numId="17">
    <w:abstractNumId w:val="10"/>
    <w:lvlOverride w:ilvl="0">
      <w:startOverride w:val="6"/>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78"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outline w:val="0"/>
      <w:color w:val="0000ff"/>
      <w:kern w:val="0"/>
      <w:sz w:val="22"/>
      <w:szCs w:val="22"/>
      <w:u w:val="single" w:color="0000ff"/>
      <w14:textFill>
        <w14:solidFill>
          <w14:srgbClr w14:val="0000FF"/>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6"/>
      </w:numPr>
    </w:pPr>
  </w:style>
  <w:style w:type="numbering" w:styleId="Imported Style 4">
    <w:name w:val="Imported Style 4"/>
    <w:pPr>
      <w:numPr>
        <w:numId w:val="9"/>
      </w:numPr>
    </w:pPr>
  </w:style>
  <w:style w:type="numbering" w:styleId="Imported Style 5">
    <w:name w:val="Imported Style 5"/>
    <w:pPr>
      <w:numPr>
        <w:numId w:val="12"/>
      </w:numPr>
    </w:pPr>
  </w:style>
  <w:style w:type="numbering" w:styleId="Imported Style 6">
    <w:name w:val="Imported Style 6"/>
    <w:pPr>
      <w:numPr>
        <w:numId w:val="1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