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60421F" w14:textId="77777777" w:rsidR="00CD39DE" w:rsidRPr="007F74CB" w:rsidRDefault="00CD39DE" w:rsidP="00CD39DE">
      <w:pPr>
        <w:tabs>
          <w:tab w:val="center" w:pos="4680"/>
        </w:tabs>
        <w:suppressAutoHyphens/>
        <w:jc w:val="center"/>
        <w:rPr>
          <w:b/>
          <w:sz w:val="24"/>
          <w:szCs w:val="24"/>
        </w:rPr>
      </w:pPr>
      <w:bookmarkStart w:id="0" w:name="_Hlk67571745"/>
      <w:r w:rsidRPr="007F74CB">
        <w:rPr>
          <w:b/>
          <w:sz w:val="24"/>
          <w:szCs w:val="24"/>
        </w:rPr>
        <w:t>SPECIAL WARRANTY DEED</w:t>
      </w:r>
    </w:p>
    <w:p w14:paraId="74E685D5" w14:textId="0ECA437D" w:rsidR="00CD39DE" w:rsidRPr="007F74CB" w:rsidRDefault="00CD39DE" w:rsidP="001941AB">
      <w:pPr>
        <w:tabs>
          <w:tab w:val="center" w:pos="4680"/>
        </w:tabs>
        <w:suppressAutoHyphens/>
        <w:spacing w:after="240"/>
        <w:jc w:val="both"/>
        <w:rPr>
          <w:b/>
          <w:sz w:val="24"/>
          <w:szCs w:val="24"/>
        </w:rPr>
      </w:pPr>
      <w:r w:rsidRPr="007F74CB">
        <w:rPr>
          <w:b/>
          <w:sz w:val="24"/>
          <w:szCs w:val="24"/>
        </w:rPr>
        <w:tab/>
        <w:t>(Water Rights)</w:t>
      </w:r>
      <w:bookmarkEnd w:id="0"/>
    </w:p>
    <w:p w14:paraId="4AA943ED" w14:textId="523B820F" w:rsidR="00CD39DE" w:rsidRPr="007F74CB" w:rsidRDefault="00CD39DE" w:rsidP="00CD39DE">
      <w:pPr>
        <w:tabs>
          <w:tab w:val="left" w:pos="-720"/>
        </w:tabs>
        <w:suppressAutoHyphens/>
        <w:spacing w:after="240"/>
        <w:jc w:val="both"/>
        <w:rPr>
          <w:sz w:val="24"/>
          <w:szCs w:val="24"/>
        </w:rPr>
      </w:pPr>
      <w:r w:rsidRPr="007F74CB">
        <w:rPr>
          <w:b/>
          <w:sz w:val="24"/>
          <w:szCs w:val="24"/>
        </w:rPr>
        <w:tab/>
        <w:t xml:space="preserve">THIS </w:t>
      </w:r>
      <w:r w:rsidR="001941AB">
        <w:rPr>
          <w:b/>
          <w:sz w:val="24"/>
          <w:szCs w:val="24"/>
        </w:rPr>
        <w:t xml:space="preserve">SPECIAL WARRANTY </w:t>
      </w:r>
      <w:r w:rsidRPr="007F74CB">
        <w:rPr>
          <w:b/>
          <w:sz w:val="24"/>
          <w:szCs w:val="24"/>
        </w:rPr>
        <w:t>DEED</w:t>
      </w:r>
      <w:r w:rsidRPr="007F74CB">
        <w:rPr>
          <w:sz w:val="24"/>
          <w:szCs w:val="24"/>
        </w:rPr>
        <w:t xml:space="preserve"> is made this ____ day of ____ , 20___ between </w:t>
      </w:r>
      <w:r w:rsidR="002725AB">
        <w:rPr>
          <w:sz w:val="24"/>
          <w:szCs w:val="24"/>
        </w:rPr>
        <w:t xml:space="preserve">Gregg Cawlfield and Jannette Cawlfield </w:t>
      </w:r>
      <w:r w:rsidRPr="007F74CB">
        <w:rPr>
          <w:sz w:val="24"/>
          <w:szCs w:val="24"/>
        </w:rPr>
        <w:t>(“</w:t>
      </w:r>
      <w:r w:rsidRPr="007F74CB">
        <w:rPr>
          <w:b/>
          <w:sz w:val="24"/>
          <w:szCs w:val="24"/>
        </w:rPr>
        <w:t>Grantor</w:t>
      </w:r>
      <w:r w:rsidRPr="007F74CB">
        <w:rPr>
          <w:sz w:val="24"/>
          <w:szCs w:val="24"/>
        </w:rPr>
        <w:t>”)</w:t>
      </w:r>
      <w:r w:rsidR="002725AB">
        <w:rPr>
          <w:sz w:val="24"/>
          <w:szCs w:val="24"/>
        </w:rPr>
        <w:t>,</w:t>
      </w:r>
      <w:r w:rsidRPr="007F74CB">
        <w:rPr>
          <w:sz w:val="24"/>
          <w:szCs w:val="24"/>
        </w:rPr>
        <w:t xml:space="preserve"> and _____________________________</w:t>
      </w:r>
      <w:r w:rsidR="007F74CB" w:rsidRPr="007F74CB">
        <w:rPr>
          <w:sz w:val="24"/>
          <w:szCs w:val="24"/>
        </w:rPr>
        <w:t>_</w:t>
      </w:r>
      <w:r w:rsidRPr="007F74CB">
        <w:rPr>
          <w:sz w:val="24"/>
          <w:szCs w:val="24"/>
        </w:rPr>
        <w:t>, whose address is _________________________________, ("</w:t>
      </w:r>
      <w:r w:rsidRPr="007F74CB">
        <w:rPr>
          <w:b/>
          <w:sz w:val="24"/>
          <w:szCs w:val="24"/>
        </w:rPr>
        <w:t>Grantee</w:t>
      </w:r>
      <w:r w:rsidRPr="007F74CB">
        <w:rPr>
          <w:sz w:val="24"/>
          <w:szCs w:val="24"/>
        </w:rPr>
        <w:t>").</w:t>
      </w:r>
    </w:p>
    <w:p w14:paraId="0577E6B8" w14:textId="579EE0C7" w:rsidR="005B1240" w:rsidRDefault="00CD39DE" w:rsidP="005B1240">
      <w:pPr>
        <w:tabs>
          <w:tab w:val="left" w:pos="-720"/>
        </w:tabs>
        <w:suppressAutoHyphens/>
        <w:spacing w:after="240"/>
        <w:jc w:val="both"/>
        <w:rPr>
          <w:sz w:val="24"/>
          <w:szCs w:val="24"/>
        </w:rPr>
      </w:pPr>
      <w:r w:rsidRPr="007F74CB">
        <w:rPr>
          <w:sz w:val="24"/>
          <w:szCs w:val="24"/>
        </w:rPr>
        <w:tab/>
      </w:r>
      <w:r w:rsidRPr="007F74CB">
        <w:rPr>
          <w:b/>
          <w:sz w:val="24"/>
          <w:szCs w:val="24"/>
        </w:rPr>
        <w:t>WITNESSETH</w:t>
      </w:r>
      <w:r w:rsidRPr="007F74CB">
        <w:rPr>
          <w:sz w:val="24"/>
          <w:szCs w:val="24"/>
        </w:rPr>
        <w:t>, that the Grantor, in consideration of funds paid in hand and other valuable consideration, the receipt and sufficiency of which are hereby acknowledged, has granted, bargained, sold and conveyed, and by these presents does grant, bargain, sell, convey and confirm, unto the Grantee, its heirs and assigns forever, all right, title</w:t>
      </w:r>
      <w:r w:rsidR="001941AB">
        <w:rPr>
          <w:sz w:val="24"/>
          <w:szCs w:val="24"/>
        </w:rPr>
        <w:t>,</w:t>
      </w:r>
      <w:r w:rsidRPr="007F74CB">
        <w:rPr>
          <w:sz w:val="24"/>
          <w:szCs w:val="24"/>
        </w:rPr>
        <w:t xml:space="preserve"> and interest in and to the water and water rights, ground water</w:t>
      </w:r>
      <w:r w:rsidR="001941AB">
        <w:rPr>
          <w:sz w:val="24"/>
          <w:szCs w:val="24"/>
        </w:rPr>
        <w:t>,</w:t>
      </w:r>
      <w:r w:rsidRPr="007F74CB">
        <w:rPr>
          <w:sz w:val="24"/>
          <w:szCs w:val="24"/>
        </w:rPr>
        <w:t xml:space="preserve"> and ground water rights, associated with, appurtenant to</w:t>
      </w:r>
      <w:r w:rsidR="00737CA6">
        <w:rPr>
          <w:sz w:val="24"/>
          <w:szCs w:val="24"/>
        </w:rPr>
        <w:t>,</w:t>
      </w:r>
      <w:r w:rsidRPr="007F74CB">
        <w:rPr>
          <w:sz w:val="24"/>
          <w:szCs w:val="24"/>
        </w:rPr>
        <w:t xml:space="preserve"> or underlying that certain real property, located in the County of El Paso, State of Colorado, more particularly described as:  </w:t>
      </w:r>
    </w:p>
    <w:p w14:paraId="1D6F3056" w14:textId="0AF78862" w:rsidR="005B1240" w:rsidRPr="00195EC6" w:rsidRDefault="005B1240" w:rsidP="005B1240">
      <w:pPr>
        <w:tabs>
          <w:tab w:val="left" w:pos="-720"/>
        </w:tabs>
        <w:suppressAutoHyphens/>
        <w:spacing w:after="240"/>
        <w:ind w:left="720" w:right="720" w:hanging="720"/>
        <w:jc w:val="both"/>
        <w:rPr>
          <w:sz w:val="24"/>
          <w:szCs w:val="24"/>
        </w:rPr>
      </w:pPr>
      <w:r>
        <w:rPr>
          <w:sz w:val="24"/>
          <w:szCs w:val="24"/>
        </w:rPr>
        <w:tab/>
      </w:r>
      <w:r w:rsidRPr="005B1240">
        <w:rPr>
          <w:sz w:val="24"/>
          <w:szCs w:val="24"/>
        </w:rPr>
        <w:t xml:space="preserve">A </w:t>
      </w:r>
      <w:r w:rsidR="000E2945">
        <w:rPr>
          <w:sz w:val="24"/>
          <w:szCs w:val="24"/>
        </w:rPr>
        <w:t>portion</w:t>
      </w:r>
      <w:r w:rsidR="002D7489">
        <w:rPr>
          <w:sz w:val="24"/>
          <w:szCs w:val="24"/>
        </w:rPr>
        <w:t xml:space="preserve"> </w:t>
      </w:r>
      <w:r w:rsidRPr="005B1240">
        <w:rPr>
          <w:sz w:val="24"/>
          <w:szCs w:val="24"/>
        </w:rPr>
        <w:t>of all water and water rights, groundwater</w:t>
      </w:r>
      <w:r w:rsidR="002D7489">
        <w:rPr>
          <w:sz w:val="24"/>
          <w:szCs w:val="24"/>
        </w:rPr>
        <w:t xml:space="preserve">, </w:t>
      </w:r>
      <w:r w:rsidRPr="005B1240">
        <w:rPr>
          <w:sz w:val="24"/>
          <w:szCs w:val="24"/>
        </w:rPr>
        <w:t xml:space="preserve">and groundwater rights in the Denver Basin aquifers underlying the real property described more particularly on </w:t>
      </w:r>
      <w:r w:rsidRPr="001941AB">
        <w:rPr>
          <w:sz w:val="24"/>
          <w:szCs w:val="24"/>
          <w:highlight w:val="yellow"/>
          <w:u w:val="single"/>
        </w:rPr>
        <w:t>Attachment A</w:t>
      </w:r>
      <w:r w:rsidRPr="005B1240">
        <w:rPr>
          <w:sz w:val="24"/>
          <w:szCs w:val="24"/>
        </w:rPr>
        <w:t>, commonly referenced as “Lot</w:t>
      </w:r>
      <w:r w:rsidR="00195EC6">
        <w:rPr>
          <w:sz w:val="24"/>
          <w:szCs w:val="24"/>
        </w:rPr>
        <w:t xml:space="preserve"> </w:t>
      </w:r>
      <w:r w:rsidR="00195EC6" w:rsidRPr="001941AB">
        <w:rPr>
          <w:sz w:val="24"/>
          <w:szCs w:val="24"/>
          <w:highlight w:val="yellow"/>
        </w:rPr>
        <w:t>_</w:t>
      </w:r>
      <w:r w:rsidRPr="001941AB">
        <w:rPr>
          <w:sz w:val="24"/>
          <w:szCs w:val="24"/>
          <w:highlight w:val="yellow"/>
        </w:rPr>
        <w:t>_</w:t>
      </w:r>
      <w:r w:rsidRPr="005B1240">
        <w:rPr>
          <w:sz w:val="24"/>
          <w:szCs w:val="24"/>
        </w:rPr>
        <w:t xml:space="preserve"> of </w:t>
      </w:r>
      <w:r w:rsidR="002725AB">
        <w:rPr>
          <w:sz w:val="24"/>
          <w:szCs w:val="24"/>
        </w:rPr>
        <w:t>Canyon Creek Ranch</w:t>
      </w:r>
      <w:r w:rsidRPr="005B1240">
        <w:rPr>
          <w:sz w:val="24"/>
          <w:szCs w:val="24"/>
        </w:rPr>
        <w:t xml:space="preserve">”, as created and described on that Plat recorded at Reception No. </w:t>
      </w:r>
      <w:r w:rsidRPr="001941AB">
        <w:rPr>
          <w:sz w:val="24"/>
          <w:szCs w:val="24"/>
          <w:highlight w:val="yellow"/>
        </w:rPr>
        <w:t>__________</w:t>
      </w:r>
      <w:r w:rsidRPr="005B1240">
        <w:rPr>
          <w:sz w:val="24"/>
          <w:szCs w:val="24"/>
        </w:rPr>
        <w:t xml:space="preserve"> in the records of the El Paso County Clerk and Recorder, specifically </w:t>
      </w:r>
      <w:r w:rsidRPr="00195EC6">
        <w:rPr>
          <w:sz w:val="24"/>
          <w:szCs w:val="24"/>
        </w:rPr>
        <w:t>including the following groundwater rights</w:t>
      </w:r>
      <w:r w:rsidR="000E2945">
        <w:rPr>
          <w:sz w:val="24"/>
          <w:szCs w:val="24"/>
        </w:rPr>
        <w:t xml:space="preserve"> decreed in Water Division 2 Case No. 06CW0015</w:t>
      </w:r>
      <w:r w:rsidRPr="00195EC6">
        <w:rPr>
          <w:sz w:val="24"/>
          <w:szCs w:val="24"/>
        </w:rPr>
        <w:t>:</w:t>
      </w:r>
    </w:p>
    <w:p w14:paraId="4D9E09B8" w14:textId="03FA7565" w:rsidR="005B1240" w:rsidRPr="00195EC6" w:rsidRDefault="005B1240" w:rsidP="005B1240">
      <w:pPr>
        <w:pStyle w:val="ListParagraph"/>
        <w:tabs>
          <w:tab w:val="left" w:pos="-720"/>
        </w:tabs>
        <w:suppressAutoHyphens/>
        <w:ind w:right="720"/>
        <w:jc w:val="both"/>
        <w:rPr>
          <w:rFonts w:ascii="Times New Roman" w:hAnsi="Times New Roman" w:cs="Times New Roman"/>
          <w:sz w:val="24"/>
          <w:szCs w:val="24"/>
        </w:rPr>
      </w:pPr>
      <w:r w:rsidRPr="00195EC6">
        <w:rPr>
          <w:rFonts w:ascii="Times New Roman" w:hAnsi="Times New Roman" w:cs="Times New Roman"/>
          <w:sz w:val="24"/>
          <w:szCs w:val="24"/>
        </w:rPr>
        <w:t xml:space="preserve">Approximately </w:t>
      </w:r>
      <w:r w:rsidR="000E2945" w:rsidRPr="001941AB">
        <w:rPr>
          <w:rFonts w:ascii="Times New Roman" w:hAnsi="Times New Roman" w:cs="Times New Roman"/>
          <w:sz w:val="24"/>
          <w:szCs w:val="24"/>
          <w:highlight w:val="yellow"/>
        </w:rPr>
        <w:t>__</w:t>
      </w:r>
      <w:r w:rsidR="009B667B">
        <w:rPr>
          <w:rFonts w:ascii="Times New Roman" w:hAnsi="Times New Roman" w:cs="Times New Roman"/>
          <w:sz w:val="24"/>
          <w:szCs w:val="24"/>
        </w:rPr>
        <w:t xml:space="preserve"> acre-feet </w:t>
      </w:r>
      <w:r w:rsidRPr="00195EC6">
        <w:rPr>
          <w:rFonts w:ascii="Times New Roman" w:hAnsi="Times New Roman" w:cs="Times New Roman"/>
          <w:sz w:val="24"/>
          <w:szCs w:val="24"/>
        </w:rPr>
        <w:t>of water in the not-</w:t>
      </w:r>
      <w:proofErr w:type="spellStart"/>
      <w:r w:rsidRPr="00195EC6">
        <w:rPr>
          <w:rFonts w:ascii="Times New Roman" w:hAnsi="Times New Roman" w:cs="Times New Roman"/>
          <w:sz w:val="24"/>
          <w:szCs w:val="24"/>
        </w:rPr>
        <w:t>nontributary</w:t>
      </w:r>
      <w:proofErr w:type="spellEnd"/>
      <w:r w:rsidRPr="00195EC6">
        <w:rPr>
          <w:rFonts w:ascii="Times New Roman" w:hAnsi="Times New Roman" w:cs="Times New Roman"/>
          <w:sz w:val="24"/>
          <w:szCs w:val="24"/>
        </w:rPr>
        <w:t xml:space="preserve"> Dawson aquifer, of the total </w:t>
      </w:r>
      <w:r w:rsidR="00195EC6" w:rsidRPr="00195EC6">
        <w:rPr>
          <w:rFonts w:ascii="Times New Roman" w:hAnsi="Times New Roman" w:cs="Times New Roman"/>
          <w:sz w:val="24"/>
          <w:szCs w:val="24"/>
        </w:rPr>
        <w:t>2</w:t>
      </w:r>
      <w:r w:rsidR="000E2945">
        <w:rPr>
          <w:rFonts w:ascii="Times New Roman" w:hAnsi="Times New Roman" w:cs="Times New Roman"/>
          <w:sz w:val="24"/>
          <w:szCs w:val="24"/>
        </w:rPr>
        <w:t>87</w:t>
      </w:r>
      <w:r w:rsidRPr="00195EC6">
        <w:rPr>
          <w:rFonts w:ascii="Times New Roman" w:hAnsi="Times New Roman" w:cs="Times New Roman"/>
          <w:sz w:val="24"/>
          <w:szCs w:val="24"/>
        </w:rPr>
        <w:t xml:space="preserve"> acre-feet decreed therein, </w:t>
      </w:r>
      <w:r w:rsidR="009B667B">
        <w:rPr>
          <w:rFonts w:ascii="Times New Roman" w:hAnsi="Times New Roman" w:cs="Times New Roman"/>
          <w:sz w:val="24"/>
          <w:szCs w:val="24"/>
        </w:rPr>
        <w:t xml:space="preserve">or </w:t>
      </w:r>
      <w:r w:rsidR="000E2945" w:rsidRPr="001941AB">
        <w:rPr>
          <w:rFonts w:ascii="Times New Roman" w:hAnsi="Times New Roman" w:cs="Times New Roman"/>
          <w:sz w:val="24"/>
          <w:szCs w:val="24"/>
          <w:highlight w:val="yellow"/>
        </w:rPr>
        <w:t>___</w:t>
      </w:r>
      <w:r w:rsidR="009B667B">
        <w:rPr>
          <w:rFonts w:ascii="Times New Roman" w:hAnsi="Times New Roman" w:cs="Times New Roman"/>
          <w:sz w:val="24"/>
          <w:szCs w:val="24"/>
        </w:rPr>
        <w:t xml:space="preserve"> </w:t>
      </w:r>
      <w:r w:rsidRPr="00195EC6">
        <w:rPr>
          <w:rFonts w:ascii="Times New Roman" w:hAnsi="Times New Roman" w:cs="Times New Roman"/>
          <w:sz w:val="24"/>
          <w:szCs w:val="24"/>
        </w:rPr>
        <w:t>annual acre-feet based on a 300-year aquifer life.</w:t>
      </w:r>
    </w:p>
    <w:p w14:paraId="42E7A458" w14:textId="77777777" w:rsidR="005B1240" w:rsidRPr="005B1240" w:rsidRDefault="005B1240" w:rsidP="005B1240">
      <w:pPr>
        <w:pStyle w:val="ListParagraph"/>
        <w:tabs>
          <w:tab w:val="left" w:pos="-720"/>
        </w:tabs>
        <w:suppressAutoHyphens/>
        <w:ind w:right="720"/>
        <w:jc w:val="both"/>
        <w:rPr>
          <w:rFonts w:ascii="Times New Roman" w:hAnsi="Times New Roman" w:cs="Times New Roman"/>
          <w:sz w:val="24"/>
          <w:szCs w:val="24"/>
          <w:highlight w:val="yellow"/>
        </w:rPr>
      </w:pPr>
    </w:p>
    <w:p w14:paraId="4B98AF44" w14:textId="5062521A" w:rsidR="005B1240" w:rsidRPr="00195EC6" w:rsidRDefault="009B667B" w:rsidP="005B1240">
      <w:pPr>
        <w:pStyle w:val="ListParagraph"/>
        <w:tabs>
          <w:tab w:val="left" w:pos="-720"/>
        </w:tabs>
        <w:suppressAutoHyphens/>
        <w:ind w:right="720"/>
        <w:jc w:val="both"/>
        <w:rPr>
          <w:rFonts w:ascii="Times New Roman" w:hAnsi="Times New Roman" w:cs="Times New Roman"/>
          <w:sz w:val="24"/>
          <w:szCs w:val="24"/>
        </w:rPr>
      </w:pPr>
      <w:r>
        <w:rPr>
          <w:rFonts w:ascii="Times New Roman" w:hAnsi="Times New Roman" w:cs="Times New Roman"/>
          <w:sz w:val="24"/>
          <w:szCs w:val="24"/>
        </w:rPr>
        <w:t xml:space="preserve">Approximately </w:t>
      </w:r>
      <w:r w:rsidR="000E2945" w:rsidRPr="001941AB">
        <w:rPr>
          <w:rFonts w:ascii="Times New Roman" w:hAnsi="Times New Roman" w:cs="Times New Roman"/>
          <w:sz w:val="24"/>
          <w:szCs w:val="24"/>
          <w:highlight w:val="yellow"/>
        </w:rPr>
        <w:t>__</w:t>
      </w:r>
      <w:r>
        <w:rPr>
          <w:rFonts w:ascii="Times New Roman" w:hAnsi="Times New Roman" w:cs="Times New Roman"/>
          <w:sz w:val="24"/>
          <w:szCs w:val="24"/>
        </w:rPr>
        <w:t xml:space="preserve"> acre-feet of water</w:t>
      </w:r>
      <w:r w:rsidR="005B1240" w:rsidRPr="00195EC6">
        <w:rPr>
          <w:rFonts w:ascii="Times New Roman" w:hAnsi="Times New Roman" w:cs="Times New Roman"/>
          <w:sz w:val="24"/>
          <w:szCs w:val="24"/>
        </w:rPr>
        <w:t xml:space="preserve"> in the </w:t>
      </w:r>
      <w:r w:rsidR="000E2945">
        <w:rPr>
          <w:rFonts w:ascii="Times New Roman" w:hAnsi="Times New Roman" w:cs="Times New Roman"/>
          <w:sz w:val="24"/>
          <w:szCs w:val="24"/>
        </w:rPr>
        <w:t>not-</w:t>
      </w:r>
      <w:proofErr w:type="spellStart"/>
      <w:r w:rsidR="005B1240" w:rsidRPr="00195EC6">
        <w:rPr>
          <w:rFonts w:ascii="Times New Roman" w:hAnsi="Times New Roman" w:cs="Times New Roman"/>
          <w:sz w:val="24"/>
          <w:szCs w:val="24"/>
        </w:rPr>
        <w:t>nontributary</w:t>
      </w:r>
      <w:proofErr w:type="spellEnd"/>
      <w:r w:rsidR="005B1240" w:rsidRPr="00195EC6">
        <w:rPr>
          <w:rFonts w:ascii="Times New Roman" w:hAnsi="Times New Roman" w:cs="Times New Roman"/>
          <w:sz w:val="24"/>
          <w:szCs w:val="24"/>
        </w:rPr>
        <w:t xml:space="preserve"> Denver aquifer,</w:t>
      </w:r>
      <w:r>
        <w:rPr>
          <w:rFonts w:ascii="Times New Roman" w:hAnsi="Times New Roman" w:cs="Times New Roman"/>
          <w:sz w:val="24"/>
          <w:szCs w:val="24"/>
        </w:rPr>
        <w:t xml:space="preserve"> </w:t>
      </w:r>
      <w:r w:rsidR="005B1240" w:rsidRPr="00195EC6">
        <w:rPr>
          <w:rFonts w:ascii="Times New Roman" w:hAnsi="Times New Roman" w:cs="Times New Roman"/>
          <w:sz w:val="24"/>
          <w:szCs w:val="24"/>
        </w:rPr>
        <w:t xml:space="preserve">of the total </w:t>
      </w:r>
      <w:r w:rsidR="000E2945">
        <w:rPr>
          <w:rFonts w:ascii="Times New Roman" w:hAnsi="Times New Roman" w:cs="Times New Roman"/>
          <w:sz w:val="24"/>
          <w:szCs w:val="24"/>
        </w:rPr>
        <w:t>1,767</w:t>
      </w:r>
      <w:r w:rsidR="005B1240" w:rsidRPr="00195EC6">
        <w:rPr>
          <w:rFonts w:ascii="Times New Roman" w:hAnsi="Times New Roman" w:cs="Times New Roman"/>
          <w:sz w:val="24"/>
          <w:szCs w:val="24"/>
        </w:rPr>
        <w:t xml:space="preserve"> acre-feet decreed therein, or </w:t>
      </w:r>
      <w:r w:rsidR="000E2945" w:rsidRPr="001941AB">
        <w:rPr>
          <w:rFonts w:ascii="Times New Roman" w:hAnsi="Times New Roman" w:cs="Times New Roman"/>
          <w:sz w:val="24"/>
          <w:szCs w:val="24"/>
          <w:highlight w:val="yellow"/>
        </w:rPr>
        <w:t>___</w:t>
      </w:r>
      <w:r w:rsidR="005B1240" w:rsidRPr="00195EC6">
        <w:rPr>
          <w:rFonts w:ascii="Times New Roman" w:hAnsi="Times New Roman" w:cs="Times New Roman"/>
          <w:sz w:val="24"/>
          <w:szCs w:val="24"/>
        </w:rPr>
        <w:t xml:space="preserve"> annual acre-feet based on a 300-year aquifer life. </w:t>
      </w:r>
      <w:r w:rsidR="00042128" w:rsidRPr="001941AB">
        <w:rPr>
          <w:rFonts w:ascii="Times New Roman" w:hAnsi="Times New Roman" w:cs="Times New Roman"/>
          <w:sz w:val="24"/>
          <w:szCs w:val="24"/>
        </w:rPr>
        <w:t>168 acre-feet, or 0.56 acre-feet per year, of this not-</w:t>
      </w:r>
      <w:proofErr w:type="spellStart"/>
      <w:r w:rsidR="00042128" w:rsidRPr="001941AB">
        <w:rPr>
          <w:rFonts w:ascii="Times New Roman" w:hAnsi="Times New Roman" w:cs="Times New Roman"/>
          <w:sz w:val="24"/>
          <w:szCs w:val="24"/>
        </w:rPr>
        <w:t>nontributary</w:t>
      </w:r>
      <w:proofErr w:type="spellEnd"/>
      <w:r w:rsidR="00042128" w:rsidRPr="001941AB">
        <w:rPr>
          <w:rFonts w:ascii="Times New Roman" w:hAnsi="Times New Roman" w:cs="Times New Roman"/>
          <w:sz w:val="24"/>
          <w:szCs w:val="24"/>
        </w:rPr>
        <w:t xml:space="preserve"> Denver aquifer supply shall not be separated from transfer of title to Lot </w:t>
      </w:r>
      <w:r w:rsidR="00042128" w:rsidRPr="001941AB">
        <w:rPr>
          <w:rFonts w:ascii="Times New Roman" w:hAnsi="Times New Roman" w:cs="Times New Roman"/>
          <w:sz w:val="24"/>
          <w:szCs w:val="24"/>
          <w:highlight w:val="yellow"/>
        </w:rPr>
        <w:t>__</w:t>
      </w:r>
      <w:r w:rsidR="00042128" w:rsidRPr="001941AB">
        <w:rPr>
          <w:rFonts w:ascii="Times New Roman" w:hAnsi="Times New Roman" w:cs="Times New Roman"/>
          <w:sz w:val="24"/>
          <w:szCs w:val="24"/>
        </w:rPr>
        <w:t xml:space="preserve"> of Canyon Creek Ranch and shall be used exclusively for primary water supply, as decreed in Case No. 06CW0015.</w:t>
      </w:r>
      <w:r w:rsidR="00042128">
        <w:rPr>
          <w:rFonts w:ascii="Times New Roman" w:hAnsi="Times New Roman" w:cs="Times New Roman"/>
          <w:sz w:val="24"/>
          <w:szCs w:val="24"/>
        </w:rPr>
        <w:t xml:space="preserve"> </w:t>
      </w:r>
    </w:p>
    <w:p w14:paraId="3B88A1BD" w14:textId="77777777" w:rsidR="005B1240" w:rsidRPr="005B1240" w:rsidRDefault="005B1240" w:rsidP="005B1240">
      <w:pPr>
        <w:pStyle w:val="ListParagraph"/>
        <w:tabs>
          <w:tab w:val="left" w:pos="-720"/>
        </w:tabs>
        <w:suppressAutoHyphens/>
        <w:ind w:right="720"/>
        <w:jc w:val="both"/>
        <w:rPr>
          <w:rFonts w:ascii="Times New Roman" w:hAnsi="Times New Roman" w:cs="Times New Roman"/>
          <w:sz w:val="24"/>
          <w:szCs w:val="24"/>
          <w:highlight w:val="yellow"/>
        </w:rPr>
      </w:pPr>
    </w:p>
    <w:p w14:paraId="03B1A7EE" w14:textId="79BD3D4B" w:rsidR="005B1240" w:rsidRDefault="00195EC6" w:rsidP="009B667B">
      <w:pPr>
        <w:pStyle w:val="ListParagraph"/>
        <w:tabs>
          <w:tab w:val="left" w:pos="-720"/>
        </w:tabs>
        <w:suppressAutoHyphens/>
        <w:ind w:right="720"/>
        <w:jc w:val="both"/>
        <w:rPr>
          <w:rFonts w:ascii="Times New Roman" w:hAnsi="Times New Roman" w:cs="Times New Roman"/>
          <w:sz w:val="24"/>
          <w:szCs w:val="24"/>
        </w:rPr>
      </w:pPr>
      <w:bookmarkStart w:id="1" w:name="_Hlk82006888"/>
      <w:r w:rsidRPr="00195EC6">
        <w:rPr>
          <w:rFonts w:ascii="Times New Roman" w:hAnsi="Times New Roman" w:cs="Times New Roman"/>
          <w:sz w:val="24"/>
          <w:szCs w:val="24"/>
        </w:rPr>
        <w:t>Approximately</w:t>
      </w:r>
      <w:r w:rsidR="000E2945">
        <w:rPr>
          <w:rFonts w:ascii="Times New Roman" w:hAnsi="Times New Roman" w:cs="Times New Roman"/>
          <w:sz w:val="24"/>
          <w:szCs w:val="24"/>
        </w:rPr>
        <w:t xml:space="preserve"> </w:t>
      </w:r>
      <w:r w:rsidR="000E2945" w:rsidRPr="001941AB">
        <w:rPr>
          <w:rFonts w:ascii="Times New Roman" w:hAnsi="Times New Roman" w:cs="Times New Roman"/>
          <w:sz w:val="24"/>
          <w:szCs w:val="24"/>
          <w:highlight w:val="yellow"/>
        </w:rPr>
        <w:t>__</w:t>
      </w:r>
      <w:r w:rsidRPr="009B667B">
        <w:rPr>
          <w:rFonts w:ascii="Times New Roman" w:hAnsi="Times New Roman" w:cs="Times New Roman"/>
          <w:sz w:val="24"/>
          <w:szCs w:val="24"/>
        </w:rPr>
        <w:t xml:space="preserve"> acre-feet of water in the </w:t>
      </w:r>
      <w:r w:rsidR="000E2945">
        <w:rPr>
          <w:rFonts w:ascii="Times New Roman" w:hAnsi="Times New Roman" w:cs="Times New Roman"/>
          <w:sz w:val="24"/>
          <w:szCs w:val="24"/>
        </w:rPr>
        <w:t>not-</w:t>
      </w:r>
      <w:proofErr w:type="spellStart"/>
      <w:r w:rsidR="005B1240" w:rsidRPr="009B667B">
        <w:rPr>
          <w:rFonts w:ascii="Times New Roman" w:hAnsi="Times New Roman" w:cs="Times New Roman"/>
          <w:sz w:val="24"/>
          <w:szCs w:val="24"/>
        </w:rPr>
        <w:t>nontributary</w:t>
      </w:r>
      <w:proofErr w:type="spellEnd"/>
      <w:r w:rsidR="005B1240" w:rsidRPr="009B667B">
        <w:rPr>
          <w:rFonts w:ascii="Times New Roman" w:hAnsi="Times New Roman" w:cs="Times New Roman"/>
          <w:sz w:val="24"/>
          <w:szCs w:val="24"/>
        </w:rPr>
        <w:t xml:space="preserve"> Arapahoe aquifer, of the total </w:t>
      </w:r>
      <w:r w:rsidRPr="009B667B">
        <w:rPr>
          <w:rFonts w:ascii="Times New Roman" w:hAnsi="Times New Roman" w:cs="Times New Roman"/>
          <w:sz w:val="24"/>
          <w:szCs w:val="24"/>
        </w:rPr>
        <w:t>1,</w:t>
      </w:r>
      <w:r w:rsidR="000E2945">
        <w:rPr>
          <w:rFonts w:ascii="Times New Roman" w:hAnsi="Times New Roman" w:cs="Times New Roman"/>
          <w:sz w:val="24"/>
          <w:szCs w:val="24"/>
        </w:rPr>
        <w:t>107</w:t>
      </w:r>
      <w:r w:rsidR="005B1240" w:rsidRPr="009B667B">
        <w:rPr>
          <w:rFonts w:ascii="Times New Roman" w:hAnsi="Times New Roman" w:cs="Times New Roman"/>
          <w:sz w:val="24"/>
          <w:szCs w:val="24"/>
        </w:rPr>
        <w:t xml:space="preserve"> acre-feet decreed therein, or </w:t>
      </w:r>
      <w:r w:rsidR="000E2945" w:rsidRPr="001941AB">
        <w:rPr>
          <w:rFonts w:ascii="Times New Roman" w:hAnsi="Times New Roman" w:cs="Times New Roman"/>
          <w:sz w:val="24"/>
          <w:szCs w:val="24"/>
          <w:highlight w:val="yellow"/>
        </w:rPr>
        <w:t>___</w:t>
      </w:r>
      <w:r w:rsidR="005B1240" w:rsidRPr="009B667B">
        <w:rPr>
          <w:rFonts w:ascii="Times New Roman" w:hAnsi="Times New Roman" w:cs="Times New Roman"/>
          <w:sz w:val="24"/>
          <w:szCs w:val="24"/>
        </w:rPr>
        <w:t xml:space="preserve"> annual acre-feet based on a 300-year aquifer life. </w:t>
      </w:r>
    </w:p>
    <w:p w14:paraId="5A41DF67" w14:textId="77777777" w:rsidR="000E2945" w:rsidRDefault="000E2945" w:rsidP="009B667B">
      <w:pPr>
        <w:pStyle w:val="ListParagraph"/>
        <w:tabs>
          <w:tab w:val="left" w:pos="-720"/>
        </w:tabs>
        <w:suppressAutoHyphens/>
        <w:ind w:right="720"/>
        <w:jc w:val="both"/>
        <w:rPr>
          <w:rFonts w:ascii="Times New Roman" w:hAnsi="Times New Roman" w:cs="Times New Roman"/>
          <w:sz w:val="24"/>
          <w:szCs w:val="24"/>
        </w:rPr>
      </w:pPr>
    </w:p>
    <w:p w14:paraId="244EF6D8" w14:textId="733F86F4" w:rsidR="005B1240" w:rsidRDefault="000E2945" w:rsidP="00365557">
      <w:pPr>
        <w:pStyle w:val="ListParagraph"/>
        <w:tabs>
          <w:tab w:val="left" w:pos="-720"/>
        </w:tabs>
        <w:suppressAutoHyphens/>
        <w:ind w:right="720"/>
        <w:jc w:val="both"/>
        <w:rPr>
          <w:rFonts w:ascii="Times New Roman" w:hAnsi="Times New Roman" w:cs="Times New Roman"/>
          <w:sz w:val="24"/>
          <w:szCs w:val="24"/>
        </w:rPr>
      </w:pPr>
      <w:r>
        <w:rPr>
          <w:rFonts w:ascii="Times New Roman" w:hAnsi="Times New Roman" w:cs="Times New Roman"/>
          <w:sz w:val="24"/>
          <w:szCs w:val="24"/>
        </w:rPr>
        <w:t xml:space="preserve">Approximately 227.3 acre-feet of water in the </w:t>
      </w:r>
      <w:proofErr w:type="spellStart"/>
      <w:r>
        <w:rPr>
          <w:rFonts w:ascii="Times New Roman" w:hAnsi="Times New Roman" w:cs="Times New Roman"/>
          <w:sz w:val="24"/>
          <w:szCs w:val="24"/>
        </w:rPr>
        <w:t>nontributary</w:t>
      </w:r>
      <w:proofErr w:type="spellEnd"/>
      <w:r>
        <w:rPr>
          <w:rFonts w:ascii="Times New Roman" w:hAnsi="Times New Roman" w:cs="Times New Roman"/>
          <w:sz w:val="24"/>
          <w:szCs w:val="24"/>
        </w:rPr>
        <w:t xml:space="preserve"> Laramie-Fox Hills aquifer, of the total 682 acre-feet decreed therein. </w:t>
      </w:r>
      <w:r w:rsidR="00365557">
        <w:rPr>
          <w:rFonts w:ascii="Times New Roman" w:hAnsi="Times New Roman" w:cs="Times New Roman"/>
          <w:sz w:val="24"/>
          <w:szCs w:val="24"/>
        </w:rPr>
        <w:t xml:space="preserve">The entirety of this </w:t>
      </w:r>
      <w:proofErr w:type="spellStart"/>
      <w:r w:rsidR="00365557">
        <w:rPr>
          <w:rFonts w:ascii="Times New Roman" w:hAnsi="Times New Roman" w:cs="Times New Roman"/>
          <w:sz w:val="24"/>
          <w:szCs w:val="24"/>
        </w:rPr>
        <w:t>nontributary</w:t>
      </w:r>
      <w:proofErr w:type="spellEnd"/>
      <w:r w:rsidR="00365557">
        <w:rPr>
          <w:rFonts w:ascii="Times New Roman" w:hAnsi="Times New Roman" w:cs="Times New Roman"/>
          <w:sz w:val="24"/>
          <w:szCs w:val="24"/>
        </w:rPr>
        <w:t xml:space="preserve"> Laramie-Fox Hills aquifer groundwater shall not be separated from transfer of title to the Lot </w:t>
      </w:r>
      <w:r w:rsidR="00365557" w:rsidRPr="001941AB">
        <w:rPr>
          <w:rFonts w:ascii="Times New Roman" w:hAnsi="Times New Roman" w:cs="Times New Roman"/>
          <w:sz w:val="24"/>
          <w:szCs w:val="24"/>
          <w:highlight w:val="yellow"/>
        </w:rPr>
        <w:t>__</w:t>
      </w:r>
      <w:r w:rsidR="00365557">
        <w:rPr>
          <w:rFonts w:ascii="Times New Roman" w:hAnsi="Times New Roman" w:cs="Times New Roman"/>
          <w:sz w:val="24"/>
          <w:szCs w:val="24"/>
        </w:rPr>
        <w:t xml:space="preserve"> of Canyon Creek Ranch and shall be used exclusively for post-pumping depletion replacement supply, as decreed in Case No. 06CW0015. </w:t>
      </w:r>
      <w:bookmarkEnd w:id="1"/>
    </w:p>
    <w:p w14:paraId="65D4A68B" w14:textId="77777777" w:rsidR="00AA223C" w:rsidRPr="00365557" w:rsidRDefault="00AA223C" w:rsidP="00365557">
      <w:pPr>
        <w:pStyle w:val="ListParagraph"/>
        <w:tabs>
          <w:tab w:val="left" w:pos="-720"/>
        </w:tabs>
        <w:suppressAutoHyphens/>
        <w:ind w:right="720"/>
        <w:jc w:val="both"/>
        <w:rPr>
          <w:rFonts w:ascii="Times New Roman" w:hAnsi="Times New Roman" w:cs="Times New Roman"/>
          <w:sz w:val="24"/>
          <w:szCs w:val="24"/>
        </w:rPr>
      </w:pPr>
    </w:p>
    <w:p w14:paraId="39918805" w14:textId="13B2B8CD" w:rsidR="00CD39DE" w:rsidRPr="007F74CB" w:rsidRDefault="005B1240" w:rsidP="000E2945">
      <w:pPr>
        <w:spacing w:after="240"/>
        <w:ind w:firstLine="720"/>
        <w:jc w:val="both"/>
        <w:rPr>
          <w:sz w:val="24"/>
          <w:szCs w:val="24"/>
        </w:rPr>
      </w:pPr>
      <w:r w:rsidRPr="00195EC6">
        <w:rPr>
          <w:sz w:val="24"/>
          <w:szCs w:val="24"/>
        </w:rPr>
        <w:lastRenderedPageBreak/>
        <w:t xml:space="preserve">Such above-described amounts being portions of the water rights decreed in </w:t>
      </w:r>
      <w:r w:rsidR="00AC29BF">
        <w:rPr>
          <w:sz w:val="24"/>
          <w:szCs w:val="24"/>
        </w:rPr>
        <w:t xml:space="preserve">Water Division 2 </w:t>
      </w:r>
      <w:r w:rsidRPr="00195EC6">
        <w:rPr>
          <w:sz w:val="24"/>
          <w:szCs w:val="24"/>
        </w:rPr>
        <w:t xml:space="preserve">Case No. </w:t>
      </w:r>
      <w:r w:rsidR="000E2945">
        <w:rPr>
          <w:sz w:val="24"/>
          <w:szCs w:val="24"/>
        </w:rPr>
        <w:t>06</w:t>
      </w:r>
      <w:r w:rsidRPr="00195EC6">
        <w:rPr>
          <w:sz w:val="24"/>
          <w:szCs w:val="24"/>
        </w:rPr>
        <w:t>CW</w:t>
      </w:r>
      <w:r w:rsidR="000E2945">
        <w:rPr>
          <w:sz w:val="24"/>
          <w:szCs w:val="24"/>
        </w:rPr>
        <w:t>0015</w:t>
      </w:r>
      <w:r w:rsidRPr="00195EC6">
        <w:rPr>
          <w:sz w:val="24"/>
          <w:szCs w:val="24"/>
        </w:rPr>
        <w:t>, and subject to any reservations of groundwater described in said decree.</w:t>
      </w:r>
    </w:p>
    <w:p w14:paraId="0492EB26" w14:textId="77777777" w:rsidR="00CD39DE" w:rsidRPr="00195EC6" w:rsidRDefault="00CD39DE" w:rsidP="00CD39DE">
      <w:pPr>
        <w:tabs>
          <w:tab w:val="left" w:pos="-1440"/>
          <w:tab w:val="left" w:pos="-720"/>
          <w:tab w:val="left" w:pos="0"/>
          <w:tab w:val="left" w:pos="720"/>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spacing w:after="240"/>
        <w:ind w:firstLine="360"/>
        <w:jc w:val="both"/>
        <w:rPr>
          <w:rFonts w:eastAsiaTheme="minorHAnsi"/>
          <w:sz w:val="24"/>
          <w:szCs w:val="24"/>
        </w:rPr>
      </w:pPr>
      <w:r w:rsidRPr="00195EC6">
        <w:rPr>
          <w:rFonts w:eastAsiaTheme="minorHAnsi"/>
          <w:sz w:val="24"/>
          <w:szCs w:val="24"/>
        </w:rPr>
        <w:t>Any and all other groundwater rights in the Dawson, Denver, Arapahoe, and Laramie Fox Hills aquifer underlying the above described overlying land not deeded herein are expressly reserved by and to Grantor.</w:t>
      </w:r>
    </w:p>
    <w:p w14:paraId="1353D4D8" w14:textId="6E5DF8AE" w:rsidR="00CD39DE" w:rsidRPr="00195EC6" w:rsidRDefault="00CD39DE" w:rsidP="00737CA6">
      <w:pPr>
        <w:pStyle w:val="BodyText"/>
        <w:ind w:firstLine="461"/>
        <w:rPr>
          <w:snapToGrid w:val="0"/>
        </w:rPr>
      </w:pPr>
      <w:r w:rsidRPr="00195EC6">
        <w:rPr>
          <w:snapToGrid w:val="0"/>
        </w:rPr>
        <w:t>TOGETHER WITH all easements and rights-of-way appurtenant thereto, all and singular the hereditaments and appurtenances thereunto belonging, or in any ways appertaining, and the reversion and reversions, remainder and remainders, rents, issues</w:t>
      </w:r>
      <w:r w:rsidR="001941AB">
        <w:rPr>
          <w:snapToGrid w:val="0"/>
        </w:rPr>
        <w:t>,</w:t>
      </w:r>
      <w:r w:rsidRPr="00195EC6">
        <w:rPr>
          <w:snapToGrid w:val="0"/>
        </w:rPr>
        <w:t xml:space="preserve"> and profits thereof; and all the estate, right, title, interest, claim</w:t>
      </w:r>
      <w:r w:rsidR="001941AB">
        <w:rPr>
          <w:snapToGrid w:val="0"/>
        </w:rPr>
        <w:t>,</w:t>
      </w:r>
      <w:r w:rsidRPr="00195EC6">
        <w:rPr>
          <w:snapToGrid w:val="0"/>
        </w:rPr>
        <w:t xml:space="preserve"> and demand whatsoever, of Grantor, either in law or equity, of, in</w:t>
      </w:r>
      <w:r w:rsidR="001941AB">
        <w:rPr>
          <w:snapToGrid w:val="0"/>
        </w:rPr>
        <w:t>,</w:t>
      </w:r>
      <w:r w:rsidRPr="00195EC6">
        <w:rPr>
          <w:snapToGrid w:val="0"/>
        </w:rPr>
        <w:t xml:space="preserve"> and to the Water Rights.</w:t>
      </w:r>
    </w:p>
    <w:p w14:paraId="12191340" w14:textId="7EA6340A" w:rsidR="00CD39DE" w:rsidRPr="00195EC6" w:rsidRDefault="00CD39DE" w:rsidP="00CD39DE">
      <w:pPr>
        <w:tabs>
          <w:tab w:val="left" w:pos="-720"/>
        </w:tabs>
        <w:suppressAutoHyphens/>
        <w:spacing w:after="240"/>
        <w:ind w:firstLine="360"/>
        <w:jc w:val="both"/>
        <w:rPr>
          <w:sz w:val="24"/>
          <w:szCs w:val="24"/>
        </w:rPr>
      </w:pPr>
      <w:r w:rsidRPr="00195EC6">
        <w:rPr>
          <w:sz w:val="24"/>
          <w:szCs w:val="24"/>
        </w:rPr>
        <w:t xml:space="preserve">TO HAVE </w:t>
      </w:r>
      <w:smartTag w:uri="urn:schemas-microsoft-com:office:smarttags" w:element="stockticker">
        <w:r w:rsidRPr="00195EC6">
          <w:rPr>
            <w:sz w:val="24"/>
            <w:szCs w:val="24"/>
          </w:rPr>
          <w:t>AND</w:t>
        </w:r>
      </w:smartTag>
      <w:r w:rsidRPr="00195EC6">
        <w:rPr>
          <w:sz w:val="24"/>
          <w:szCs w:val="24"/>
        </w:rPr>
        <w:t xml:space="preserve"> TO HOLD the said water rights above bargained and described with the appurtenances, unto the Grantee, its heirs</w:t>
      </w:r>
      <w:r w:rsidR="001941AB">
        <w:rPr>
          <w:sz w:val="24"/>
          <w:szCs w:val="24"/>
        </w:rPr>
        <w:t>,</w:t>
      </w:r>
      <w:r w:rsidRPr="00195EC6">
        <w:rPr>
          <w:sz w:val="24"/>
          <w:szCs w:val="24"/>
        </w:rPr>
        <w:t xml:space="preserve"> and assigns forever.  The Grantor, for </w:t>
      </w:r>
      <w:r w:rsidR="001941AB">
        <w:rPr>
          <w:sz w:val="24"/>
          <w:szCs w:val="24"/>
        </w:rPr>
        <w:t>themselves</w:t>
      </w:r>
      <w:r w:rsidRPr="00195EC6">
        <w:rPr>
          <w:sz w:val="24"/>
          <w:szCs w:val="24"/>
        </w:rPr>
        <w:t xml:space="preserve">, </w:t>
      </w:r>
      <w:r w:rsidR="001941AB">
        <w:rPr>
          <w:sz w:val="24"/>
          <w:szCs w:val="24"/>
        </w:rPr>
        <w:t>their</w:t>
      </w:r>
      <w:r w:rsidRPr="00195EC6">
        <w:rPr>
          <w:sz w:val="24"/>
          <w:szCs w:val="24"/>
        </w:rPr>
        <w:t xml:space="preserve"> heirs</w:t>
      </w:r>
      <w:r w:rsidR="001941AB">
        <w:rPr>
          <w:sz w:val="24"/>
          <w:szCs w:val="24"/>
        </w:rPr>
        <w:t>,</w:t>
      </w:r>
      <w:r w:rsidRPr="00195EC6">
        <w:rPr>
          <w:sz w:val="24"/>
          <w:szCs w:val="24"/>
        </w:rPr>
        <w:t xml:space="preserve"> and personal representatives or successors, doe</w:t>
      </w:r>
      <w:r w:rsidR="001941AB">
        <w:rPr>
          <w:sz w:val="24"/>
          <w:szCs w:val="24"/>
        </w:rPr>
        <w:t>s</w:t>
      </w:r>
      <w:r w:rsidRPr="00195EC6">
        <w:rPr>
          <w:sz w:val="24"/>
          <w:szCs w:val="24"/>
        </w:rPr>
        <w:t xml:space="preserve"> covenant and agree that </w:t>
      </w:r>
      <w:r w:rsidR="001941AB">
        <w:rPr>
          <w:sz w:val="24"/>
          <w:szCs w:val="24"/>
        </w:rPr>
        <w:t>they</w:t>
      </w:r>
      <w:r w:rsidRPr="00195EC6">
        <w:rPr>
          <w:sz w:val="24"/>
          <w:szCs w:val="24"/>
        </w:rPr>
        <w:t xml:space="preserve"> shall and will warrant </w:t>
      </w:r>
      <w:smartTag w:uri="urn:schemas-microsoft-com:office:smarttags" w:element="stockticker">
        <w:r w:rsidRPr="00195EC6">
          <w:rPr>
            <w:sz w:val="24"/>
            <w:szCs w:val="24"/>
          </w:rPr>
          <w:t>and</w:t>
        </w:r>
      </w:smartTag>
      <w:r w:rsidRPr="00195EC6">
        <w:rPr>
          <w:sz w:val="24"/>
          <w:szCs w:val="24"/>
        </w:rPr>
        <w:t xml:space="preserve"> forever defend the above-bargained water rights in the quiet and peaceable possession of the Grantee, its heirs and assigns, against all and every person or persons claiming the whole or any part thereof, by, through</w:t>
      </w:r>
      <w:r w:rsidR="001941AB">
        <w:rPr>
          <w:sz w:val="24"/>
          <w:szCs w:val="24"/>
        </w:rPr>
        <w:t>,</w:t>
      </w:r>
      <w:r w:rsidRPr="00195EC6">
        <w:rPr>
          <w:sz w:val="24"/>
          <w:szCs w:val="24"/>
        </w:rPr>
        <w:t xml:space="preserve"> or under the Grantor.</w:t>
      </w:r>
    </w:p>
    <w:p w14:paraId="67043B3D" w14:textId="4FEA793A" w:rsidR="00CD39DE" w:rsidRPr="00195EC6" w:rsidRDefault="00CD39DE" w:rsidP="00CD39DE">
      <w:pPr>
        <w:spacing w:after="240"/>
        <w:outlineLvl w:val="0"/>
        <w:rPr>
          <w:b/>
          <w:color w:val="000000"/>
          <w:sz w:val="24"/>
          <w:szCs w:val="24"/>
        </w:rPr>
      </w:pPr>
      <w:r w:rsidRPr="00195EC6">
        <w:rPr>
          <w:b/>
          <w:color w:val="000000"/>
          <w:sz w:val="24"/>
          <w:szCs w:val="24"/>
        </w:rPr>
        <w:t xml:space="preserve">GRANTOR:  </w:t>
      </w:r>
      <w:r w:rsidR="00AC29BF" w:rsidRPr="00AC29BF">
        <w:rPr>
          <w:b/>
          <w:bCs/>
          <w:sz w:val="24"/>
          <w:szCs w:val="24"/>
        </w:rPr>
        <w:t>Gregg Cawlfield and Jannette Cawlfield</w:t>
      </w:r>
    </w:p>
    <w:p w14:paraId="38CD956A" w14:textId="144A90F9" w:rsidR="00CD39DE" w:rsidRDefault="00CD39DE" w:rsidP="00CD39DE">
      <w:pPr>
        <w:tabs>
          <w:tab w:val="right" w:pos="9360"/>
        </w:tabs>
        <w:spacing w:after="240"/>
        <w:contextualSpacing/>
        <w:outlineLvl w:val="0"/>
        <w:rPr>
          <w:color w:val="000000"/>
          <w:sz w:val="24"/>
          <w:szCs w:val="24"/>
          <w:u w:val="single"/>
        </w:rPr>
      </w:pPr>
      <w:r w:rsidRPr="00195EC6">
        <w:rPr>
          <w:color w:val="000000"/>
          <w:sz w:val="24"/>
          <w:szCs w:val="24"/>
        </w:rPr>
        <w:t>By:______________________________</w:t>
      </w:r>
    </w:p>
    <w:p w14:paraId="53BA08B8" w14:textId="2BBCDA2F" w:rsidR="00AC29BF" w:rsidRDefault="00AC29BF" w:rsidP="00CD39DE">
      <w:pPr>
        <w:tabs>
          <w:tab w:val="right" w:pos="9360"/>
        </w:tabs>
        <w:spacing w:after="240"/>
        <w:contextualSpacing/>
        <w:outlineLvl w:val="0"/>
        <w:rPr>
          <w:color w:val="000000"/>
          <w:sz w:val="24"/>
          <w:szCs w:val="24"/>
        </w:rPr>
      </w:pPr>
      <w:r w:rsidRPr="00AC29BF">
        <w:rPr>
          <w:color w:val="000000"/>
          <w:sz w:val="24"/>
          <w:szCs w:val="24"/>
        </w:rPr>
        <w:t xml:space="preserve">Gregg Cawlfield </w:t>
      </w:r>
    </w:p>
    <w:p w14:paraId="5772422F" w14:textId="77777777" w:rsidR="00AC29BF" w:rsidRDefault="00AC29BF" w:rsidP="00CD39DE">
      <w:pPr>
        <w:tabs>
          <w:tab w:val="right" w:pos="9360"/>
        </w:tabs>
        <w:spacing w:after="240"/>
        <w:contextualSpacing/>
        <w:outlineLvl w:val="0"/>
        <w:rPr>
          <w:color w:val="000000"/>
          <w:sz w:val="24"/>
          <w:szCs w:val="24"/>
        </w:rPr>
      </w:pPr>
    </w:p>
    <w:p w14:paraId="27CB3C02" w14:textId="44C3CA6C" w:rsidR="00AC29BF" w:rsidRDefault="00AC29BF" w:rsidP="00CD39DE">
      <w:pPr>
        <w:tabs>
          <w:tab w:val="right" w:pos="9360"/>
        </w:tabs>
        <w:spacing w:after="240"/>
        <w:contextualSpacing/>
        <w:outlineLvl w:val="0"/>
        <w:rPr>
          <w:color w:val="000000"/>
          <w:sz w:val="24"/>
          <w:szCs w:val="24"/>
        </w:rPr>
      </w:pPr>
      <w:r>
        <w:rPr>
          <w:color w:val="000000"/>
          <w:sz w:val="24"/>
          <w:szCs w:val="24"/>
        </w:rPr>
        <w:t>By:______________________________</w:t>
      </w:r>
    </w:p>
    <w:p w14:paraId="0243BB4C" w14:textId="52A6FB2E" w:rsidR="00AC29BF" w:rsidRPr="00AC29BF" w:rsidRDefault="00AC29BF" w:rsidP="00CD39DE">
      <w:pPr>
        <w:tabs>
          <w:tab w:val="right" w:pos="9360"/>
        </w:tabs>
        <w:spacing w:after="240"/>
        <w:contextualSpacing/>
        <w:outlineLvl w:val="0"/>
        <w:rPr>
          <w:color w:val="000000"/>
          <w:sz w:val="24"/>
          <w:szCs w:val="24"/>
        </w:rPr>
      </w:pPr>
      <w:r>
        <w:rPr>
          <w:color w:val="000000"/>
          <w:sz w:val="24"/>
          <w:szCs w:val="24"/>
        </w:rPr>
        <w:t>Jannette Cawlfield</w:t>
      </w:r>
    </w:p>
    <w:p w14:paraId="4B16F209" w14:textId="77777777" w:rsidR="00195EC6" w:rsidRPr="00195EC6" w:rsidRDefault="00195EC6" w:rsidP="00CD39DE">
      <w:pPr>
        <w:tabs>
          <w:tab w:val="right" w:pos="9360"/>
        </w:tabs>
        <w:spacing w:after="240"/>
        <w:outlineLvl w:val="0"/>
        <w:rPr>
          <w:color w:val="000000"/>
          <w:sz w:val="24"/>
          <w:szCs w:val="24"/>
          <w:u w:val="single"/>
        </w:rPr>
      </w:pPr>
    </w:p>
    <w:p w14:paraId="41E9C778" w14:textId="77777777" w:rsidR="00CD39DE" w:rsidRPr="00195EC6" w:rsidRDefault="00CD39DE" w:rsidP="00CD39DE">
      <w:pPr>
        <w:tabs>
          <w:tab w:val="left" w:pos="-720"/>
        </w:tabs>
        <w:suppressAutoHyphens/>
        <w:jc w:val="both"/>
        <w:rPr>
          <w:color w:val="000000"/>
          <w:spacing w:val="-3"/>
          <w:sz w:val="24"/>
          <w:szCs w:val="24"/>
        </w:rPr>
      </w:pPr>
      <w:r w:rsidRPr="00195EC6">
        <w:rPr>
          <w:color w:val="000000"/>
          <w:spacing w:val="-3"/>
          <w:sz w:val="24"/>
          <w:szCs w:val="24"/>
        </w:rPr>
        <w:t>STATE OF COLORADO</w:t>
      </w:r>
      <w:r w:rsidRPr="00195EC6">
        <w:rPr>
          <w:color w:val="000000"/>
          <w:spacing w:val="-3"/>
          <w:sz w:val="24"/>
          <w:szCs w:val="24"/>
        </w:rPr>
        <w:tab/>
      </w:r>
      <w:r w:rsidRPr="00195EC6">
        <w:rPr>
          <w:color w:val="000000"/>
          <w:spacing w:val="-3"/>
          <w:sz w:val="24"/>
          <w:szCs w:val="24"/>
        </w:rPr>
        <w:tab/>
        <w:t>)</w:t>
      </w:r>
    </w:p>
    <w:p w14:paraId="409616C4" w14:textId="77777777" w:rsidR="00CD39DE" w:rsidRPr="00195EC6" w:rsidRDefault="00CD39DE" w:rsidP="00CD39DE">
      <w:pPr>
        <w:tabs>
          <w:tab w:val="left" w:pos="-720"/>
        </w:tabs>
        <w:suppressAutoHyphens/>
        <w:jc w:val="both"/>
        <w:rPr>
          <w:color w:val="000000"/>
          <w:spacing w:val="-3"/>
          <w:sz w:val="24"/>
          <w:szCs w:val="24"/>
        </w:rPr>
      </w:pPr>
      <w:r w:rsidRPr="00195EC6">
        <w:rPr>
          <w:color w:val="000000"/>
          <w:spacing w:val="-3"/>
          <w:sz w:val="24"/>
          <w:szCs w:val="24"/>
        </w:rPr>
        <w:tab/>
      </w:r>
      <w:r w:rsidRPr="00195EC6">
        <w:rPr>
          <w:color w:val="000000"/>
          <w:spacing w:val="-3"/>
          <w:sz w:val="24"/>
          <w:szCs w:val="24"/>
        </w:rPr>
        <w:tab/>
      </w:r>
      <w:r w:rsidRPr="00195EC6">
        <w:rPr>
          <w:color w:val="000000"/>
          <w:spacing w:val="-3"/>
          <w:sz w:val="24"/>
          <w:szCs w:val="24"/>
        </w:rPr>
        <w:tab/>
      </w:r>
      <w:r w:rsidRPr="00195EC6">
        <w:rPr>
          <w:color w:val="000000"/>
          <w:spacing w:val="-3"/>
          <w:sz w:val="24"/>
          <w:szCs w:val="24"/>
        </w:rPr>
        <w:tab/>
      </w:r>
      <w:r w:rsidRPr="00195EC6">
        <w:rPr>
          <w:color w:val="000000"/>
          <w:spacing w:val="-3"/>
          <w:sz w:val="24"/>
          <w:szCs w:val="24"/>
        </w:rPr>
        <w:tab/>
        <w:t>) ss.</w:t>
      </w:r>
    </w:p>
    <w:p w14:paraId="58F444AE" w14:textId="77777777" w:rsidR="00CD39DE" w:rsidRPr="00195EC6" w:rsidRDefault="00CD39DE" w:rsidP="00CD39DE">
      <w:pPr>
        <w:tabs>
          <w:tab w:val="left" w:pos="-720"/>
        </w:tabs>
        <w:suppressAutoHyphens/>
        <w:jc w:val="both"/>
        <w:rPr>
          <w:color w:val="000000"/>
          <w:spacing w:val="-3"/>
          <w:sz w:val="24"/>
          <w:szCs w:val="24"/>
        </w:rPr>
      </w:pPr>
      <w:r w:rsidRPr="00195EC6">
        <w:rPr>
          <w:color w:val="000000"/>
          <w:spacing w:val="-3"/>
          <w:sz w:val="24"/>
          <w:szCs w:val="24"/>
        </w:rPr>
        <w:t xml:space="preserve">County of </w:t>
      </w:r>
      <w:r w:rsidRPr="00195EC6">
        <w:rPr>
          <w:color w:val="000000"/>
          <w:spacing w:val="-3"/>
          <w:sz w:val="24"/>
          <w:szCs w:val="24"/>
          <w:u w:val="single"/>
        </w:rPr>
        <w:tab/>
      </w:r>
      <w:r w:rsidRPr="00195EC6">
        <w:rPr>
          <w:color w:val="000000"/>
          <w:spacing w:val="-3"/>
          <w:sz w:val="24"/>
          <w:szCs w:val="24"/>
          <w:u w:val="single"/>
        </w:rPr>
        <w:tab/>
      </w:r>
      <w:r w:rsidRPr="00195EC6">
        <w:rPr>
          <w:color w:val="000000"/>
          <w:spacing w:val="-3"/>
          <w:sz w:val="24"/>
          <w:szCs w:val="24"/>
          <w:u w:val="single"/>
        </w:rPr>
        <w:tab/>
      </w:r>
      <w:r w:rsidRPr="00195EC6">
        <w:rPr>
          <w:color w:val="000000"/>
          <w:spacing w:val="-3"/>
          <w:sz w:val="24"/>
          <w:szCs w:val="24"/>
          <w:u w:val="single"/>
        </w:rPr>
        <w:tab/>
      </w:r>
      <w:r w:rsidRPr="00195EC6">
        <w:rPr>
          <w:color w:val="000000"/>
          <w:spacing w:val="-3"/>
          <w:sz w:val="24"/>
          <w:szCs w:val="24"/>
        </w:rPr>
        <w:t>)</w:t>
      </w:r>
    </w:p>
    <w:p w14:paraId="287B2B9D" w14:textId="77777777" w:rsidR="00CD39DE" w:rsidRPr="00195EC6" w:rsidRDefault="00CD39DE" w:rsidP="00CD39DE">
      <w:pPr>
        <w:spacing w:after="240"/>
        <w:ind w:firstLine="720"/>
        <w:jc w:val="both"/>
        <w:rPr>
          <w:color w:val="000000"/>
          <w:sz w:val="24"/>
          <w:szCs w:val="24"/>
        </w:rPr>
      </w:pPr>
    </w:p>
    <w:p w14:paraId="1844EBB9" w14:textId="4FE95788" w:rsidR="00CD39DE" w:rsidRPr="00195EC6" w:rsidRDefault="00CD39DE" w:rsidP="00CD39DE">
      <w:pPr>
        <w:spacing w:after="240"/>
        <w:ind w:firstLine="720"/>
        <w:jc w:val="both"/>
        <w:rPr>
          <w:color w:val="000000"/>
          <w:sz w:val="24"/>
          <w:szCs w:val="24"/>
        </w:rPr>
      </w:pPr>
      <w:r w:rsidRPr="00195EC6">
        <w:rPr>
          <w:color w:val="000000"/>
          <w:sz w:val="24"/>
          <w:szCs w:val="24"/>
        </w:rPr>
        <w:t>The foregoing instrument was acknowledged before me this _____ day of __________, 20____, by</w:t>
      </w:r>
      <w:r w:rsidR="00AC29BF">
        <w:rPr>
          <w:color w:val="000000"/>
          <w:sz w:val="24"/>
          <w:szCs w:val="24"/>
        </w:rPr>
        <w:t xml:space="preserve"> </w:t>
      </w:r>
      <w:r w:rsidR="00AC29BF">
        <w:rPr>
          <w:sz w:val="24"/>
          <w:szCs w:val="24"/>
        </w:rPr>
        <w:t>Gregg Cawlfield and Jannette Cawlfield</w:t>
      </w:r>
      <w:r w:rsidRPr="00195EC6">
        <w:rPr>
          <w:color w:val="000000"/>
          <w:sz w:val="24"/>
          <w:szCs w:val="24"/>
        </w:rPr>
        <w:t>.</w:t>
      </w:r>
    </w:p>
    <w:p w14:paraId="7830A0D5" w14:textId="77777777" w:rsidR="00195EC6" w:rsidRDefault="00195EC6" w:rsidP="00CD39DE">
      <w:pPr>
        <w:tabs>
          <w:tab w:val="right" w:pos="9360"/>
        </w:tabs>
        <w:rPr>
          <w:color w:val="000000"/>
          <w:sz w:val="24"/>
          <w:szCs w:val="24"/>
        </w:rPr>
      </w:pPr>
    </w:p>
    <w:p w14:paraId="0654FE2B" w14:textId="16CCEC61" w:rsidR="00195EC6" w:rsidRDefault="00CD39DE" w:rsidP="00CD39DE">
      <w:pPr>
        <w:tabs>
          <w:tab w:val="right" w:pos="9360"/>
        </w:tabs>
        <w:rPr>
          <w:color w:val="000000"/>
          <w:sz w:val="24"/>
          <w:szCs w:val="24"/>
        </w:rPr>
      </w:pPr>
      <w:r w:rsidRPr="00195EC6">
        <w:rPr>
          <w:color w:val="000000"/>
          <w:sz w:val="24"/>
          <w:szCs w:val="24"/>
        </w:rPr>
        <w:t>(SEAL)</w:t>
      </w:r>
    </w:p>
    <w:p w14:paraId="01268262" w14:textId="77777777" w:rsidR="00195EC6" w:rsidRPr="00195EC6" w:rsidRDefault="00195EC6" w:rsidP="00CD39DE">
      <w:pPr>
        <w:tabs>
          <w:tab w:val="right" w:pos="9360"/>
        </w:tabs>
        <w:rPr>
          <w:color w:val="000000"/>
          <w:sz w:val="24"/>
          <w:szCs w:val="24"/>
        </w:rPr>
      </w:pPr>
    </w:p>
    <w:p w14:paraId="37F1098C" w14:textId="77777777" w:rsidR="00CD39DE" w:rsidRPr="00195EC6" w:rsidRDefault="00CD39DE" w:rsidP="00CD39DE">
      <w:pPr>
        <w:tabs>
          <w:tab w:val="right" w:pos="9360"/>
        </w:tabs>
        <w:rPr>
          <w:color w:val="000000"/>
          <w:sz w:val="24"/>
          <w:szCs w:val="24"/>
        </w:rPr>
      </w:pPr>
      <w:r w:rsidRPr="00195EC6">
        <w:rPr>
          <w:color w:val="000000"/>
          <w:sz w:val="24"/>
          <w:szCs w:val="24"/>
        </w:rPr>
        <w:tab/>
        <w:t>__________________________________________</w:t>
      </w:r>
    </w:p>
    <w:p w14:paraId="35081B93" w14:textId="77777777" w:rsidR="00CD39DE" w:rsidRPr="00195EC6" w:rsidRDefault="00CD39DE" w:rsidP="00CD39DE">
      <w:pPr>
        <w:ind w:left="3600" w:firstLine="720"/>
        <w:outlineLvl w:val="0"/>
        <w:rPr>
          <w:color w:val="000000"/>
          <w:sz w:val="24"/>
          <w:szCs w:val="24"/>
        </w:rPr>
      </w:pPr>
      <w:r w:rsidRPr="00195EC6">
        <w:rPr>
          <w:color w:val="000000"/>
          <w:sz w:val="24"/>
          <w:szCs w:val="24"/>
        </w:rPr>
        <w:t>Notary Public</w:t>
      </w:r>
    </w:p>
    <w:p w14:paraId="13169678" w14:textId="77777777" w:rsidR="00CD39DE" w:rsidRDefault="00CD39DE" w:rsidP="00CD39DE">
      <w:pPr>
        <w:spacing w:after="120"/>
        <w:ind w:left="4320" w:firstLine="720"/>
        <w:rPr>
          <w:color w:val="000000"/>
          <w:sz w:val="24"/>
          <w:szCs w:val="24"/>
        </w:rPr>
      </w:pPr>
    </w:p>
    <w:p w14:paraId="54CBBDE4" w14:textId="77777777" w:rsidR="00195EC6" w:rsidRPr="00195EC6" w:rsidRDefault="00195EC6" w:rsidP="00CD39DE">
      <w:pPr>
        <w:spacing w:after="120"/>
        <w:ind w:left="4320" w:firstLine="720"/>
        <w:rPr>
          <w:color w:val="000000"/>
          <w:sz w:val="24"/>
          <w:szCs w:val="24"/>
        </w:rPr>
      </w:pPr>
    </w:p>
    <w:p w14:paraId="3A94D08F" w14:textId="4C5223C3" w:rsidR="00EA24E0" w:rsidRPr="00195EC6" w:rsidRDefault="00CD39DE" w:rsidP="00195EC6">
      <w:pPr>
        <w:spacing w:after="120"/>
        <w:ind w:left="3600" w:firstLine="720"/>
        <w:rPr>
          <w:color w:val="000000"/>
          <w:sz w:val="24"/>
          <w:szCs w:val="24"/>
        </w:rPr>
      </w:pPr>
      <w:r w:rsidRPr="00195EC6">
        <w:rPr>
          <w:color w:val="000000"/>
          <w:sz w:val="24"/>
          <w:szCs w:val="24"/>
        </w:rPr>
        <w:t>My commission expires:______________________</w:t>
      </w:r>
    </w:p>
    <w:sectPr w:rsidR="00EA24E0" w:rsidRPr="00195E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9DE"/>
    <w:rsid w:val="00042128"/>
    <w:rsid w:val="000E2945"/>
    <w:rsid w:val="000F5701"/>
    <w:rsid w:val="001941AB"/>
    <w:rsid w:val="00195EC6"/>
    <w:rsid w:val="002725AB"/>
    <w:rsid w:val="002D7489"/>
    <w:rsid w:val="00365557"/>
    <w:rsid w:val="003A01CE"/>
    <w:rsid w:val="00543B65"/>
    <w:rsid w:val="005B1240"/>
    <w:rsid w:val="005D62D2"/>
    <w:rsid w:val="005F510F"/>
    <w:rsid w:val="00737CA6"/>
    <w:rsid w:val="007F74CB"/>
    <w:rsid w:val="00903B61"/>
    <w:rsid w:val="009B667B"/>
    <w:rsid w:val="00AA223C"/>
    <w:rsid w:val="00AC29BF"/>
    <w:rsid w:val="00CD39DE"/>
    <w:rsid w:val="00DF123F"/>
    <w:rsid w:val="00E80C9E"/>
    <w:rsid w:val="00EA24E0"/>
    <w:rsid w:val="00EE7D39"/>
    <w:rsid w:val="00F00287"/>
    <w:rsid w:val="00FA7F45"/>
    <w:rsid w:val="00FC7F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3E1E673A"/>
  <w15:chartTrackingRefBased/>
  <w15:docId w15:val="{D755DA18-7434-46E4-B972-55842624F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9DE"/>
    <w:pPr>
      <w:overflowPunct w:val="0"/>
      <w:autoSpaceDE w:val="0"/>
      <w:autoSpaceDN w:val="0"/>
      <w:adjustRightInd w:val="0"/>
      <w:spacing w:after="0" w:line="240" w:lineRule="auto"/>
      <w:textAlignment w:val="baseline"/>
    </w:pPr>
    <w:rPr>
      <w:rFonts w:ascii="Times New Roman" w:eastAsia="Times New Roman" w:hAnsi="Times New Roman" w:cs="Times New Roman"/>
      <w:noProof/>
      <w:kern w:val="0"/>
      <w:sz w:val="20"/>
      <w:szCs w:val="20"/>
      <w14:ligatures w14:val="none"/>
    </w:rPr>
  </w:style>
  <w:style w:type="paragraph" w:styleId="Heading1">
    <w:name w:val="heading 1"/>
    <w:basedOn w:val="Normal"/>
    <w:next w:val="Normal"/>
    <w:link w:val="Heading1Char"/>
    <w:uiPriority w:val="9"/>
    <w:qFormat/>
    <w:rsid w:val="00CD39DE"/>
    <w:pPr>
      <w:keepNext/>
      <w:keepLines/>
      <w:overflowPunct/>
      <w:autoSpaceDE/>
      <w:autoSpaceDN/>
      <w:adjustRightInd/>
      <w:spacing w:before="360" w:after="80" w:line="259" w:lineRule="auto"/>
      <w:textAlignment w:val="auto"/>
      <w:outlineLvl w:val="0"/>
    </w:pPr>
    <w:rPr>
      <w:rFonts w:asciiTheme="majorHAnsi" w:eastAsiaTheme="majorEastAsia" w:hAnsiTheme="majorHAnsi" w:cstheme="majorBidi"/>
      <w:noProof w:val="0"/>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D39DE"/>
    <w:pPr>
      <w:keepNext/>
      <w:keepLines/>
      <w:overflowPunct/>
      <w:autoSpaceDE/>
      <w:autoSpaceDN/>
      <w:adjustRightInd/>
      <w:spacing w:before="160" w:after="80" w:line="259" w:lineRule="auto"/>
      <w:textAlignment w:val="auto"/>
      <w:outlineLvl w:val="1"/>
    </w:pPr>
    <w:rPr>
      <w:rFonts w:asciiTheme="majorHAnsi" w:eastAsiaTheme="majorEastAsia" w:hAnsiTheme="majorHAnsi" w:cstheme="majorBidi"/>
      <w:noProof w:val="0"/>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D39DE"/>
    <w:pPr>
      <w:keepNext/>
      <w:keepLines/>
      <w:overflowPunct/>
      <w:autoSpaceDE/>
      <w:autoSpaceDN/>
      <w:adjustRightInd/>
      <w:spacing w:before="160" w:after="80" w:line="259" w:lineRule="auto"/>
      <w:textAlignment w:val="auto"/>
      <w:outlineLvl w:val="2"/>
    </w:pPr>
    <w:rPr>
      <w:rFonts w:asciiTheme="minorHAnsi" w:eastAsiaTheme="majorEastAsia" w:hAnsiTheme="minorHAnsi" w:cstheme="majorBidi"/>
      <w:noProof w:val="0"/>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D39DE"/>
    <w:pPr>
      <w:keepNext/>
      <w:keepLines/>
      <w:overflowPunct/>
      <w:autoSpaceDE/>
      <w:autoSpaceDN/>
      <w:adjustRightInd/>
      <w:spacing w:before="80" w:after="40" w:line="259" w:lineRule="auto"/>
      <w:textAlignment w:val="auto"/>
      <w:outlineLvl w:val="3"/>
    </w:pPr>
    <w:rPr>
      <w:rFonts w:asciiTheme="minorHAnsi" w:eastAsiaTheme="majorEastAsia" w:hAnsiTheme="minorHAnsi" w:cstheme="majorBidi"/>
      <w:i/>
      <w:iCs/>
      <w:noProof w:val="0"/>
      <w:color w:val="2F5496"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CD39DE"/>
    <w:pPr>
      <w:keepNext/>
      <w:keepLines/>
      <w:overflowPunct/>
      <w:autoSpaceDE/>
      <w:autoSpaceDN/>
      <w:adjustRightInd/>
      <w:spacing w:before="80" w:after="40" w:line="259" w:lineRule="auto"/>
      <w:textAlignment w:val="auto"/>
      <w:outlineLvl w:val="4"/>
    </w:pPr>
    <w:rPr>
      <w:rFonts w:asciiTheme="minorHAnsi" w:eastAsiaTheme="majorEastAsia" w:hAnsiTheme="minorHAnsi" w:cstheme="majorBidi"/>
      <w:noProof w:val="0"/>
      <w:color w:val="2F5496"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CD39DE"/>
    <w:pPr>
      <w:keepNext/>
      <w:keepLines/>
      <w:overflowPunct/>
      <w:autoSpaceDE/>
      <w:autoSpaceDN/>
      <w:adjustRightInd/>
      <w:spacing w:before="40" w:line="259" w:lineRule="auto"/>
      <w:textAlignment w:val="auto"/>
      <w:outlineLvl w:val="5"/>
    </w:pPr>
    <w:rPr>
      <w:rFonts w:asciiTheme="minorHAnsi" w:eastAsiaTheme="majorEastAsia" w:hAnsiTheme="minorHAnsi" w:cstheme="majorBidi"/>
      <w:i/>
      <w:iCs/>
      <w:noProof w:val="0"/>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CD39DE"/>
    <w:pPr>
      <w:keepNext/>
      <w:keepLines/>
      <w:overflowPunct/>
      <w:autoSpaceDE/>
      <w:autoSpaceDN/>
      <w:adjustRightInd/>
      <w:spacing w:before="40" w:line="259" w:lineRule="auto"/>
      <w:textAlignment w:val="auto"/>
      <w:outlineLvl w:val="6"/>
    </w:pPr>
    <w:rPr>
      <w:rFonts w:asciiTheme="minorHAnsi" w:eastAsiaTheme="majorEastAsia" w:hAnsiTheme="minorHAnsi" w:cstheme="majorBidi"/>
      <w:noProof w:val="0"/>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CD39DE"/>
    <w:pPr>
      <w:keepNext/>
      <w:keepLines/>
      <w:overflowPunct/>
      <w:autoSpaceDE/>
      <w:autoSpaceDN/>
      <w:adjustRightInd/>
      <w:spacing w:line="259" w:lineRule="auto"/>
      <w:textAlignment w:val="auto"/>
      <w:outlineLvl w:val="7"/>
    </w:pPr>
    <w:rPr>
      <w:rFonts w:asciiTheme="minorHAnsi" w:eastAsiaTheme="majorEastAsia" w:hAnsiTheme="minorHAnsi" w:cstheme="majorBidi"/>
      <w:i/>
      <w:iCs/>
      <w:noProof w:val="0"/>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CD39DE"/>
    <w:pPr>
      <w:keepNext/>
      <w:keepLines/>
      <w:overflowPunct/>
      <w:autoSpaceDE/>
      <w:autoSpaceDN/>
      <w:adjustRightInd/>
      <w:spacing w:line="259" w:lineRule="auto"/>
      <w:textAlignment w:val="auto"/>
      <w:outlineLvl w:val="8"/>
    </w:pPr>
    <w:rPr>
      <w:rFonts w:asciiTheme="minorHAnsi" w:eastAsiaTheme="majorEastAsia" w:hAnsiTheme="minorHAnsi" w:cstheme="majorBidi"/>
      <w:noProof w:val="0"/>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39D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D39D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D39D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D39D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D39D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D39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39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39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39DE"/>
    <w:rPr>
      <w:rFonts w:eastAsiaTheme="majorEastAsia" w:cstheme="majorBidi"/>
      <w:color w:val="272727" w:themeColor="text1" w:themeTint="D8"/>
    </w:rPr>
  </w:style>
  <w:style w:type="paragraph" w:styleId="Title">
    <w:name w:val="Title"/>
    <w:basedOn w:val="Normal"/>
    <w:next w:val="Normal"/>
    <w:link w:val="TitleChar"/>
    <w:uiPriority w:val="10"/>
    <w:qFormat/>
    <w:rsid w:val="00CD39DE"/>
    <w:pPr>
      <w:overflowPunct/>
      <w:autoSpaceDE/>
      <w:autoSpaceDN/>
      <w:adjustRightInd/>
      <w:spacing w:after="80"/>
      <w:contextualSpacing/>
      <w:textAlignment w:val="auto"/>
    </w:pPr>
    <w:rPr>
      <w:rFonts w:asciiTheme="majorHAnsi" w:eastAsiaTheme="majorEastAsia" w:hAnsiTheme="majorHAnsi" w:cstheme="majorBidi"/>
      <w:noProof w:val="0"/>
      <w:spacing w:val="-10"/>
      <w:kern w:val="28"/>
      <w:sz w:val="56"/>
      <w:szCs w:val="56"/>
      <w14:ligatures w14:val="standardContextual"/>
    </w:rPr>
  </w:style>
  <w:style w:type="character" w:customStyle="1" w:styleId="TitleChar">
    <w:name w:val="Title Char"/>
    <w:basedOn w:val="DefaultParagraphFont"/>
    <w:link w:val="Title"/>
    <w:uiPriority w:val="10"/>
    <w:rsid w:val="00CD39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39DE"/>
    <w:pPr>
      <w:numPr>
        <w:ilvl w:val="1"/>
      </w:numPr>
      <w:overflowPunct/>
      <w:autoSpaceDE/>
      <w:autoSpaceDN/>
      <w:adjustRightInd/>
      <w:spacing w:after="160" w:line="259" w:lineRule="auto"/>
      <w:textAlignment w:val="auto"/>
    </w:pPr>
    <w:rPr>
      <w:rFonts w:asciiTheme="minorHAnsi" w:eastAsiaTheme="majorEastAsia" w:hAnsiTheme="minorHAnsi" w:cstheme="majorBidi"/>
      <w:noProof w:val="0"/>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D39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39DE"/>
    <w:pPr>
      <w:overflowPunct/>
      <w:autoSpaceDE/>
      <w:autoSpaceDN/>
      <w:adjustRightInd/>
      <w:spacing w:before="160" w:after="160" w:line="259" w:lineRule="auto"/>
      <w:jc w:val="center"/>
      <w:textAlignment w:val="auto"/>
    </w:pPr>
    <w:rPr>
      <w:rFonts w:asciiTheme="minorHAnsi" w:eastAsiaTheme="minorHAnsi" w:hAnsiTheme="minorHAnsi" w:cstheme="minorBidi"/>
      <w:i/>
      <w:iCs/>
      <w:noProof w:val="0"/>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CD39DE"/>
    <w:rPr>
      <w:i/>
      <w:iCs/>
      <w:color w:val="404040" w:themeColor="text1" w:themeTint="BF"/>
    </w:rPr>
  </w:style>
  <w:style w:type="paragraph" w:styleId="ListParagraph">
    <w:name w:val="List Paragraph"/>
    <w:basedOn w:val="Normal"/>
    <w:uiPriority w:val="34"/>
    <w:qFormat/>
    <w:rsid w:val="00CD39DE"/>
    <w:pPr>
      <w:overflowPunct/>
      <w:autoSpaceDE/>
      <w:autoSpaceDN/>
      <w:adjustRightInd/>
      <w:spacing w:after="160" w:line="259" w:lineRule="auto"/>
      <w:ind w:left="720"/>
      <w:contextualSpacing/>
      <w:textAlignment w:val="auto"/>
    </w:pPr>
    <w:rPr>
      <w:rFonts w:asciiTheme="minorHAnsi" w:eastAsiaTheme="minorHAnsi" w:hAnsiTheme="minorHAnsi" w:cstheme="minorBidi"/>
      <w:noProof w:val="0"/>
      <w:kern w:val="2"/>
      <w:sz w:val="22"/>
      <w:szCs w:val="22"/>
      <w14:ligatures w14:val="standardContextual"/>
    </w:rPr>
  </w:style>
  <w:style w:type="character" w:styleId="IntenseEmphasis">
    <w:name w:val="Intense Emphasis"/>
    <w:basedOn w:val="DefaultParagraphFont"/>
    <w:uiPriority w:val="21"/>
    <w:qFormat/>
    <w:rsid w:val="00CD39DE"/>
    <w:rPr>
      <w:i/>
      <w:iCs/>
      <w:color w:val="2F5496" w:themeColor="accent1" w:themeShade="BF"/>
    </w:rPr>
  </w:style>
  <w:style w:type="paragraph" w:styleId="IntenseQuote">
    <w:name w:val="Intense Quote"/>
    <w:basedOn w:val="Normal"/>
    <w:next w:val="Normal"/>
    <w:link w:val="IntenseQuoteChar"/>
    <w:uiPriority w:val="30"/>
    <w:qFormat/>
    <w:rsid w:val="00CD39DE"/>
    <w:pPr>
      <w:pBdr>
        <w:top w:val="single" w:sz="4" w:space="10" w:color="2F5496" w:themeColor="accent1" w:themeShade="BF"/>
        <w:bottom w:val="single" w:sz="4" w:space="10" w:color="2F5496" w:themeColor="accent1" w:themeShade="BF"/>
      </w:pBdr>
      <w:overflowPunct/>
      <w:autoSpaceDE/>
      <w:autoSpaceDN/>
      <w:adjustRightInd/>
      <w:spacing w:before="360" w:after="360" w:line="259" w:lineRule="auto"/>
      <w:ind w:left="864" w:right="864"/>
      <w:jc w:val="center"/>
      <w:textAlignment w:val="auto"/>
    </w:pPr>
    <w:rPr>
      <w:rFonts w:asciiTheme="minorHAnsi" w:eastAsiaTheme="minorHAnsi" w:hAnsiTheme="minorHAnsi" w:cstheme="minorBidi"/>
      <w:i/>
      <w:iCs/>
      <w:noProof w:val="0"/>
      <w:color w:val="2F5496"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CD39DE"/>
    <w:rPr>
      <w:i/>
      <w:iCs/>
      <w:color w:val="2F5496" w:themeColor="accent1" w:themeShade="BF"/>
    </w:rPr>
  </w:style>
  <w:style w:type="character" w:styleId="IntenseReference">
    <w:name w:val="Intense Reference"/>
    <w:basedOn w:val="DefaultParagraphFont"/>
    <w:uiPriority w:val="32"/>
    <w:qFormat/>
    <w:rsid w:val="00CD39DE"/>
    <w:rPr>
      <w:b/>
      <w:bCs/>
      <w:smallCaps/>
      <w:color w:val="2F5496" w:themeColor="accent1" w:themeShade="BF"/>
      <w:spacing w:val="5"/>
    </w:rPr>
  </w:style>
  <w:style w:type="paragraph" w:styleId="BodyText">
    <w:name w:val="Body Text"/>
    <w:basedOn w:val="Normal"/>
    <w:link w:val="BodyTextChar"/>
    <w:uiPriority w:val="1"/>
    <w:qFormat/>
    <w:rsid w:val="00CD39DE"/>
    <w:pPr>
      <w:overflowPunct/>
      <w:autoSpaceDE/>
      <w:autoSpaceDN/>
      <w:adjustRightInd/>
      <w:spacing w:after="240"/>
      <w:ind w:firstLine="720"/>
      <w:jc w:val="both"/>
      <w:textAlignment w:val="auto"/>
    </w:pPr>
    <w:rPr>
      <w:noProof w:val="0"/>
      <w:sz w:val="24"/>
      <w:szCs w:val="24"/>
    </w:rPr>
  </w:style>
  <w:style w:type="character" w:customStyle="1" w:styleId="BodyTextChar">
    <w:name w:val="Body Text Char"/>
    <w:basedOn w:val="DefaultParagraphFont"/>
    <w:link w:val="BodyText"/>
    <w:uiPriority w:val="1"/>
    <w:rsid w:val="00CD39DE"/>
    <w:rPr>
      <w:rFonts w:ascii="Times New Roman" w:eastAsia="Times New Roman" w:hAnsi="Times New Roman" w:cs="Times New Roman"/>
      <w:kern w:val="0"/>
      <w:sz w:val="24"/>
      <w:szCs w:val="24"/>
      <w14:ligatures w14:val="none"/>
    </w:rPr>
  </w:style>
  <w:style w:type="paragraph" w:customStyle="1" w:styleId="TableParagraph">
    <w:name w:val="Table Paragraph"/>
    <w:basedOn w:val="Normal"/>
    <w:uiPriority w:val="1"/>
    <w:qFormat/>
    <w:rsid w:val="007F74CB"/>
    <w:pPr>
      <w:widowControl w:val="0"/>
      <w:overflowPunct/>
      <w:adjustRightInd/>
      <w:spacing w:line="206" w:lineRule="exact"/>
      <w:textAlignment w:val="auto"/>
    </w:pPr>
    <w:rPr>
      <w:noProof w:val="0"/>
      <w:sz w:val="22"/>
      <w:szCs w:val="22"/>
    </w:rPr>
  </w:style>
  <w:style w:type="character" w:styleId="CommentReference">
    <w:name w:val="annotation reference"/>
    <w:basedOn w:val="DefaultParagraphFont"/>
    <w:uiPriority w:val="99"/>
    <w:semiHidden/>
    <w:unhideWhenUsed/>
    <w:rsid w:val="00EE7D39"/>
    <w:rPr>
      <w:sz w:val="16"/>
      <w:szCs w:val="16"/>
    </w:rPr>
  </w:style>
  <w:style w:type="paragraph" w:styleId="CommentText">
    <w:name w:val="annotation text"/>
    <w:basedOn w:val="Normal"/>
    <w:link w:val="CommentTextChar"/>
    <w:uiPriority w:val="99"/>
    <w:unhideWhenUsed/>
    <w:rsid w:val="00EE7D39"/>
  </w:style>
  <w:style w:type="character" w:customStyle="1" w:styleId="CommentTextChar">
    <w:name w:val="Comment Text Char"/>
    <w:basedOn w:val="DefaultParagraphFont"/>
    <w:link w:val="CommentText"/>
    <w:uiPriority w:val="99"/>
    <w:rsid w:val="00EE7D39"/>
    <w:rPr>
      <w:rFonts w:ascii="Times New Roman" w:eastAsia="Times New Roman" w:hAnsi="Times New Roman" w:cs="Times New Roman"/>
      <w:noProof/>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EE7D39"/>
    <w:rPr>
      <w:b/>
      <w:bCs/>
    </w:rPr>
  </w:style>
  <w:style w:type="character" w:customStyle="1" w:styleId="CommentSubjectChar">
    <w:name w:val="Comment Subject Char"/>
    <w:basedOn w:val="CommentTextChar"/>
    <w:link w:val="CommentSubject"/>
    <w:uiPriority w:val="99"/>
    <w:semiHidden/>
    <w:rsid w:val="00EE7D39"/>
    <w:rPr>
      <w:rFonts w:ascii="Times New Roman" w:eastAsia="Times New Roman" w:hAnsi="Times New Roman" w:cs="Times New Roman"/>
      <w:b/>
      <w:bCs/>
      <w:noProof/>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281</TotalTime>
  <Pages>2</Pages>
  <Words>680</Words>
  <Characters>3636</Characters>
  <Application>Microsoft Office Word</Application>
  <DocSecurity>0</DocSecurity>
  <Lines>71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Tilton</dc:creator>
  <cp:keywords/>
  <dc:description/>
  <cp:lastModifiedBy>Sedona Chavez</cp:lastModifiedBy>
  <cp:revision>9</cp:revision>
  <dcterms:created xsi:type="dcterms:W3CDTF">2025-09-22T21:14:00Z</dcterms:created>
  <dcterms:modified xsi:type="dcterms:W3CDTF">2025-12-02T16:28:00Z</dcterms:modified>
</cp:coreProperties>
</file>