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1896" w:rsidRPr="00801627" w:rsidRDefault="00801627" w:rsidP="00801627">
      <w:pPr>
        <w:jc w:val="center"/>
        <w:rPr>
          <w:b/>
          <w:sz w:val="44"/>
          <w:szCs w:val="44"/>
        </w:rPr>
      </w:pPr>
      <w:r w:rsidRPr="00801627">
        <w:rPr>
          <w:b/>
          <w:sz w:val="44"/>
          <w:szCs w:val="44"/>
        </w:rPr>
        <w:t>HIDDEN CREEK ESTATES</w:t>
      </w:r>
    </w:p>
    <w:p w:rsidR="00801627" w:rsidRDefault="00801627" w:rsidP="00801627">
      <w:pPr>
        <w:jc w:val="center"/>
        <w:rPr>
          <w:b/>
          <w:sz w:val="32"/>
          <w:szCs w:val="32"/>
        </w:rPr>
      </w:pPr>
      <w:r>
        <w:rPr>
          <w:b/>
          <w:sz w:val="32"/>
          <w:szCs w:val="32"/>
        </w:rPr>
        <w:t>EL PASO COUNTY, CO</w:t>
      </w:r>
    </w:p>
    <w:p w:rsidR="00801627" w:rsidRDefault="00801627" w:rsidP="00801627">
      <w:pPr>
        <w:jc w:val="center"/>
        <w:rPr>
          <w:b/>
          <w:sz w:val="40"/>
          <w:szCs w:val="40"/>
        </w:rPr>
      </w:pPr>
      <w:r w:rsidRPr="00801627">
        <w:rPr>
          <w:b/>
          <w:sz w:val="40"/>
          <w:szCs w:val="40"/>
        </w:rPr>
        <w:t>WILDFIRE MITIGATION REPORT</w:t>
      </w:r>
    </w:p>
    <w:p w:rsidR="00801627" w:rsidRDefault="00801627" w:rsidP="00801627">
      <w:pPr>
        <w:jc w:val="center"/>
        <w:rPr>
          <w:b/>
          <w:sz w:val="28"/>
          <w:szCs w:val="28"/>
        </w:rPr>
      </w:pPr>
      <w:r>
        <w:rPr>
          <w:b/>
          <w:sz w:val="28"/>
          <w:szCs w:val="28"/>
        </w:rPr>
        <w:t>PREPARED BY</w:t>
      </w:r>
    </w:p>
    <w:p w:rsidR="00801627" w:rsidRDefault="00801627" w:rsidP="00801627">
      <w:pPr>
        <w:jc w:val="center"/>
        <w:rPr>
          <w:b/>
          <w:sz w:val="32"/>
          <w:szCs w:val="32"/>
        </w:rPr>
      </w:pPr>
      <w:r>
        <w:rPr>
          <w:b/>
          <w:sz w:val="32"/>
          <w:szCs w:val="32"/>
        </w:rPr>
        <w:t>RUBICON WILDFIRE SOLUTIONS, L.L.C.</w:t>
      </w:r>
    </w:p>
    <w:p w:rsidR="00801627" w:rsidRDefault="00801627" w:rsidP="00801627">
      <w:pPr>
        <w:jc w:val="center"/>
        <w:rPr>
          <w:b/>
          <w:sz w:val="28"/>
          <w:szCs w:val="28"/>
        </w:rPr>
      </w:pPr>
      <w:r>
        <w:rPr>
          <w:b/>
          <w:sz w:val="28"/>
          <w:szCs w:val="28"/>
        </w:rPr>
        <w:t>Robert Harvey CWMS, STPS</w:t>
      </w:r>
    </w:p>
    <w:p w:rsidR="00605B8C" w:rsidRDefault="00605B8C" w:rsidP="00801627">
      <w:pPr>
        <w:jc w:val="center"/>
        <w:rPr>
          <w:b/>
          <w:sz w:val="24"/>
          <w:szCs w:val="24"/>
        </w:rPr>
      </w:pPr>
      <w:r>
        <w:rPr>
          <w:b/>
          <w:sz w:val="24"/>
          <w:szCs w:val="24"/>
        </w:rPr>
        <w:t>NFPA #1190244-CWMS</w:t>
      </w:r>
    </w:p>
    <w:p w:rsidR="00515806" w:rsidRPr="00605B8C" w:rsidRDefault="00515806" w:rsidP="00801627">
      <w:pPr>
        <w:jc w:val="center"/>
        <w:rPr>
          <w:rFonts w:ascii="Lucida Handwriting" w:hAnsi="Lucida Handwriting"/>
          <w:b/>
          <w:sz w:val="32"/>
          <w:szCs w:val="32"/>
        </w:rPr>
      </w:pPr>
      <w:r>
        <w:rPr>
          <w:b/>
          <w:sz w:val="24"/>
          <w:szCs w:val="24"/>
        </w:rPr>
        <w:t>November 14, 2025</w:t>
      </w:r>
    </w:p>
    <w:p w:rsidR="00B74543" w:rsidRDefault="00B74543" w:rsidP="00801627">
      <w:pPr>
        <w:jc w:val="center"/>
        <w:rPr>
          <w:b/>
          <w:sz w:val="28"/>
          <w:szCs w:val="28"/>
        </w:rPr>
      </w:pPr>
    </w:p>
    <w:p w:rsidR="00B74543" w:rsidRDefault="00B74543" w:rsidP="00B74543"/>
    <w:p w:rsidR="00B74543" w:rsidRDefault="00B74543" w:rsidP="00B74543">
      <w:pPr>
        <w:rPr>
          <w:sz w:val="24"/>
          <w:szCs w:val="24"/>
        </w:rPr>
      </w:pPr>
      <w:r>
        <w:rPr>
          <w:sz w:val="24"/>
          <w:szCs w:val="24"/>
        </w:rPr>
        <w:t>Hidden Creek Estates is a proposed sub</w:t>
      </w:r>
      <w:r w:rsidR="00862F2B">
        <w:rPr>
          <w:sz w:val="24"/>
          <w:szCs w:val="24"/>
        </w:rPr>
        <w:t>division in the Monument</w:t>
      </w:r>
      <w:r w:rsidR="00605B8C">
        <w:rPr>
          <w:sz w:val="24"/>
          <w:szCs w:val="24"/>
        </w:rPr>
        <w:t xml:space="preserve"> area</w:t>
      </w:r>
      <w:r w:rsidR="00B43F90">
        <w:rPr>
          <w:sz w:val="24"/>
          <w:szCs w:val="24"/>
        </w:rPr>
        <w:t>, N</w:t>
      </w:r>
      <w:r w:rsidR="00862F2B">
        <w:rPr>
          <w:sz w:val="24"/>
          <w:szCs w:val="24"/>
        </w:rPr>
        <w:t>orth</w:t>
      </w:r>
      <w:r>
        <w:rPr>
          <w:sz w:val="24"/>
          <w:szCs w:val="24"/>
        </w:rPr>
        <w:t xml:space="preserve"> El Paso County,</w:t>
      </w:r>
      <w:r w:rsidR="00862F2B">
        <w:rPr>
          <w:sz w:val="24"/>
          <w:szCs w:val="24"/>
        </w:rPr>
        <w:t xml:space="preserve"> Colorado.</w:t>
      </w:r>
      <w:r>
        <w:rPr>
          <w:sz w:val="24"/>
          <w:szCs w:val="24"/>
        </w:rPr>
        <w:t xml:space="preserve"> </w:t>
      </w:r>
      <w:r w:rsidR="00862F2B">
        <w:rPr>
          <w:sz w:val="24"/>
          <w:szCs w:val="24"/>
        </w:rPr>
        <w:t>G</w:t>
      </w:r>
      <w:r>
        <w:rPr>
          <w:sz w:val="24"/>
          <w:szCs w:val="24"/>
        </w:rPr>
        <w:t>enerally located along Hay Creek Rd. west of the Old Denver Highway. The U.S. Air Force Academy is situated immediately south of the Hidden Creek Es</w:t>
      </w:r>
      <w:r w:rsidR="00515806">
        <w:rPr>
          <w:sz w:val="24"/>
          <w:szCs w:val="24"/>
        </w:rPr>
        <w:t>tates property</w:t>
      </w:r>
      <w:r w:rsidR="00862F2B">
        <w:rPr>
          <w:sz w:val="24"/>
          <w:szCs w:val="24"/>
        </w:rPr>
        <w:t>, and is considered neighboring property.</w:t>
      </w:r>
    </w:p>
    <w:p w:rsidR="00EB3D25" w:rsidRDefault="00605B8C" w:rsidP="00B74543">
      <w:pPr>
        <w:rPr>
          <w:sz w:val="24"/>
          <w:szCs w:val="24"/>
        </w:rPr>
      </w:pPr>
      <w:r>
        <w:rPr>
          <w:sz w:val="24"/>
          <w:szCs w:val="24"/>
        </w:rPr>
        <w:t>The site survey was</w:t>
      </w:r>
      <w:r w:rsidR="00515806">
        <w:rPr>
          <w:sz w:val="24"/>
          <w:szCs w:val="24"/>
        </w:rPr>
        <w:t xml:space="preserve"> conducted to determine the accuracy of wildfire threat hazard</w:t>
      </w:r>
      <w:r>
        <w:rPr>
          <w:b/>
          <w:sz w:val="24"/>
          <w:szCs w:val="24"/>
        </w:rPr>
        <w:t xml:space="preserve"> </w:t>
      </w:r>
      <w:r>
        <w:rPr>
          <w:sz w:val="24"/>
          <w:szCs w:val="24"/>
        </w:rPr>
        <w:t>this in turn determined the appro</w:t>
      </w:r>
      <w:r w:rsidR="00515806">
        <w:rPr>
          <w:sz w:val="24"/>
          <w:szCs w:val="24"/>
        </w:rPr>
        <w:t>priate mitigation level</w:t>
      </w:r>
      <w:r>
        <w:rPr>
          <w:sz w:val="24"/>
          <w:szCs w:val="24"/>
        </w:rPr>
        <w:t xml:space="preserve"> for this development site.</w:t>
      </w:r>
      <w:r>
        <w:rPr>
          <w:b/>
          <w:sz w:val="24"/>
          <w:szCs w:val="24"/>
        </w:rPr>
        <w:t xml:space="preserve"> </w:t>
      </w:r>
      <w:r w:rsidR="00EB3D25">
        <w:rPr>
          <w:sz w:val="24"/>
          <w:szCs w:val="24"/>
        </w:rPr>
        <w:t>The site survey was conducted by Robert Harvey on September 4, 2025 on foot to cover the entire parcel of land to be included in this subdivision. The site survey is particularly crucial in that residents in this area tend to landscape their yards and surroundi</w:t>
      </w:r>
      <w:r>
        <w:rPr>
          <w:sz w:val="24"/>
          <w:szCs w:val="24"/>
        </w:rPr>
        <w:t>ng property using existing vegetation</w:t>
      </w:r>
      <w:r w:rsidR="00EB3D25">
        <w:rPr>
          <w:sz w:val="24"/>
          <w:szCs w:val="24"/>
        </w:rPr>
        <w:t>,</w:t>
      </w:r>
      <w:r>
        <w:rPr>
          <w:sz w:val="24"/>
          <w:szCs w:val="24"/>
        </w:rPr>
        <w:t xml:space="preserve"> including</w:t>
      </w:r>
      <w:r w:rsidR="00EB3D25">
        <w:rPr>
          <w:sz w:val="24"/>
          <w:szCs w:val="24"/>
        </w:rPr>
        <w:t xml:space="preserve"> grasses</w:t>
      </w:r>
      <w:r>
        <w:rPr>
          <w:sz w:val="24"/>
          <w:szCs w:val="24"/>
        </w:rPr>
        <w:t>, shrubs</w:t>
      </w:r>
      <w:r w:rsidR="00EB3D25">
        <w:rPr>
          <w:sz w:val="24"/>
          <w:szCs w:val="24"/>
        </w:rPr>
        <w:t xml:space="preserve"> and trees to create a more natural environment and to reduce impacts of water usage along with lower maintenance requirements.</w:t>
      </w:r>
    </w:p>
    <w:p w:rsidR="00B43F90" w:rsidRPr="00B43F90" w:rsidRDefault="00B43F90" w:rsidP="00B74543">
      <w:pPr>
        <w:rPr>
          <w:sz w:val="28"/>
          <w:szCs w:val="28"/>
        </w:rPr>
      </w:pPr>
    </w:p>
    <w:p w:rsidR="00B43F90" w:rsidRPr="00B43F90" w:rsidRDefault="00B43F90" w:rsidP="00B43F90">
      <w:pPr>
        <w:jc w:val="center"/>
        <w:rPr>
          <w:b/>
          <w:sz w:val="28"/>
          <w:szCs w:val="28"/>
        </w:rPr>
      </w:pPr>
      <w:r w:rsidRPr="00B43F90">
        <w:rPr>
          <w:b/>
          <w:sz w:val="28"/>
          <w:szCs w:val="28"/>
        </w:rPr>
        <w:t>WILDFIRE HAZARD EVALUATION</w:t>
      </w:r>
    </w:p>
    <w:p w:rsidR="00EB3D25" w:rsidRDefault="00EB3D25" w:rsidP="00B74543">
      <w:pPr>
        <w:rPr>
          <w:sz w:val="24"/>
          <w:szCs w:val="24"/>
        </w:rPr>
      </w:pPr>
    </w:p>
    <w:p w:rsidR="00EB3D25" w:rsidRDefault="00EB3D25" w:rsidP="00EB3D25">
      <w:pPr>
        <w:jc w:val="center"/>
        <w:rPr>
          <w:b/>
          <w:sz w:val="28"/>
          <w:szCs w:val="28"/>
        </w:rPr>
      </w:pPr>
      <w:r>
        <w:rPr>
          <w:b/>
          <w:sz w:val="28"/>
          <w:szCs w:val="28"/>
        </w:rPr>
        <w:t>Development Site Survey</w:t>
      </w:r>
    </w:p>
    <w:p w:rsidR="00B74543" w:rsidRPr="00B43F90" w:rsidRDefault="00B74543" w:rsidP="00B74543">
      <w:pPr>
        <w:rPr>
          <w:b/>
          <w:sz w:val="24"/>
          <w:szCs w:val="24"/>
        </w:rPr>
      </w:pPr>
      <w:r>
        <w:rPr>
          <w:sz w:val="24"/>
          <w:szCs w:val="24"/>
        </w:rPr>
        <w:t xml:space="preserve">The Hay Creek Drainage generally runs west to east from the Rampart Range on the west (the regional high points of elevation) creating </w:t>
      </w:r>
      <w:r w:rsidR="006E7F48">
        <w:rPr>
          <w:sz w:val="24"/>
          <w:szCs w:val="24"/>
        </w:rPr>
        <w:t xml:space="preserve">an east facing aspect for the primary drainage. The slopes which are proposed for development are true characteristics of a north aspect, with one significant feature that does not pose as a north aspect, that being the almost non-existence of </w:t>
      </w:r>
      <w:r w:rsidR="006E7F48">
        <w:rPr>
          <w:sz w:val="24"/>
          <w:szCs w:val="24"/>
        </w:rPr>
        <w:lastRenderedPageBreak/>
        <w:t>timber that is typical of this aspect (north).  Lack of timber on these minor slopes is a result of forest harvesting operations along the AT&amp;SF Railway and the approximate 100 years of grazing which occurred on this land. Grazing in particular kep</w:t>
      </w:r>
      <w:r w:rsidR="00EB3D25">
        <w:rPr>
          <w:sz w:val="24"/>
          <w:szCs w:val="24"/>
        </w:rPr>
        <w:t xml:space="preserve">t the proliferation of the </w:t>
      </w:r>
      <w:proofErr w:type="spellStart"/>
      <w:r w:rsidR="00EB3D25">
        <w:rPr>
          <w:sz w:val="24"/>
          <w:szCs w:val="24"/>
        </w:rPr>
        <w:t>Gambe</w:t>
      </w:r>
      <w:r w:rsidR="006E7F48">
        <w:rPr>
          <w:sz w:val="24"/>
          <w:szCs w:val="24"/>
        </w:rPr>
        <w:t>l</w:t>
      </w:r>
      <w:proofErr w:type="spellEnd"/>
      <w:r w:rsidR="006E7F48">
        <w:rPr>
          <w:sz w:val="24"/>
          <w:szCs w:val="24"/>
        </w:rPr>
        <w:t xml:space="preserve"> </w:t>
      </w:r>
      <w:proofErr w:type="gramStart"/>
      <w:r w:rsidR="006E7F48">
        <w:rPr>
          <w:sz w:val="24"/>
          <w:szCs w:val="24"/>
        </w:rPr>
        <w:t xml:space="preserve">Oak </w:t>
      </w:r>
      <w:r w:rsidR="00EB3D25">
        <w:rPr>
          <w:sz w:val="24"/>
          <w:szCs w:val="24"/>
        </w:rPr>
        <w:t xml:space="preserve"> (</w:t>
      </w:r>
      <w:proofErr w:type="spellStart"/>
      <w:proofErr w:type="gramEnd"/>
      <w:r w:rsidR="00EB3D25">
        <w:rPr>
          <w:sz w:val="24"/>
          <w:szCs w:val="24"/>
        </w:rPr>
        <w:t>Quercus</w:t>
      </w:r>
      <w:proofErr w:type="spellEnd"/>
      <w:r w:rsidR="00EB3D25">
        <w:rPr>
          <w:sz w:val="24"/>
          <w:szCs w:val="24"/>
        </w:rPr>
        <w:t xml:space="preserve"> </w:t>
      </w:r>
      <w:proofErr w:type="spellStart"/>
      <w:r w:rsidR="00EB3D25">
        <w:rPr>
          <w:sz w:val="24"/>
          <w:szCs w:val="24"/>
        </w:rPr>
        <w:t>Gambelii</w:t>
      </w:r>
      <w:proofErr w:type="spellEnd"/>
      <w:r w:rsidR="00EB3D25">
        <w:rPr>
          <w:sz w:val="24"/>
          <w:szCs w:val="24"/>
        </w:rPr>
        <w:t xml:space="preserve">) </w:t>
      </w:r>
      <w:r w:rsidR="006E7F48">
        <w:rPr>
          <w:sz w:val="24"/>
          <w:szCs w:val="24"/>
        </w:rPr>
        <w:t xml:space="preserve">to a reduced </w:t>
      </w:r>
      <w:r w:rsidR="00EF0A7C">
        <w:rPr>
          <w:sz w:val="24"/>
          <w:szCs w:val="24"/>
        </w:rPr>
        <w:t xml:space="preserve">vegetation </w:t>
      </w:r>
      <w:r w:rsidR="006E7F48">
        <w:rPr>
          <w:sz w:val="24"/>
          <w:szCs w:val="24"/>
        </w:rPr>
        <w:t>height and spread factor</w:t>
      </w:r>
      <w:r w:rsidR="00EB3D25">
        <w:rPr>
          <w:sz w:val="24"/>
          <w:szCs w:val="24"/>
        </w:rPr>
        <w:t>.</w:t>
      </w:r>
      <w:r w:rsidR="00605B8C">
        <w:rPr>
          <w:sz w:val="24"/>
          <w:szCs w:val="24"/>
        </w:rPr>
        <w:t xml:space="preserve"> The areas immediately adjacent to the development site show varying degrees of vegetation cover from well mitigated properties on the East boundary to significant pines and connected </w:t>
      </w:r>
      <w:proofErr w:type="spellStart"/>
      <w:r w:rsidR="00605B8C">
        <w:rPr>
          <w:sz w:val="24"/>
          <w:szCs w:val="24"/>
        </w:rPr>
        <w:t>Gambel</w:t>
      </w:r>
      <w:proofErr w:type="spellEnd"/>
      <w:r w:rsidR="00605B8C">
        <w:rPr>
          <w:sz w:val="24"/>
          <w:szCs w:val="24"/>
        </w:rPr>
        <w:t xml:space="preserve"> Oak on the</w:t>
      </w:r>
      <w:r w:rsidR="00B43F90">
        <w:rPr>
          <w:sz w:val="24"/>
          <w:szCs w:val="24"/>
        </w:rPr>
        <w:t xml:space="preserve"> west</w:t>
      </w:r>
      <w:r w:rsidR="00605B8C">
        <w:rPr>
          <w:sz w:val="24"/>
          <w:szCs w:val="24"/>
        </w:rPr>
        <w:t xml:space="preserve">. The South development perimeter is US Air Force Academy property, </w:t>
      </w:r>
      <w:r w:rsidR="00605B8C" w:rsidRPr="00B43F90">
        <w:rPr>
          <w:b/>
          <w:sz w:val="24"/>
          <w:szCs w:val="24"/>
        </w:rPr>
        <w:t>this does have a</w:t>
      </w:r>
      <w:r w:rsidR="00605B8C">
        <w:rPr>
          <w:sz w:val="24"/>
          <w:szCs w:val="24"/>
        </w:rPr>
        <w:t xml:space="preserve"> </w:t>
      </w:r>
      <w:r w:rsidR="00605B8C" w:rsidRPr="00B43F90">
        <w:rPr>
          <w:b/>
          <w:sz w:val="24"/>
          <w:szCs w:val="24"/>
        </w:rPr>
        <w:t>significant fuel break along the property fence line which would reduce fire spread between properties.</w:t>
      </w:r>
    </w:p>
    <w:p w:rsidR="00605B8C" w:rsidRDefault="00605B8C" w:rsidP="00B74543">
      <w:pPr>
        <w:rPr>
          <w:sz w:val="24"/>
          <w:szCs w:val="24"/>
        </w:rPr>
      </w:pPr>
      <w:r>
        <w:rPr>
          <w:sz w:val="24"/>
          <w:szCs w:val="24"/>
        </w:rPr>
        <w:t>The slopes in the building margins were measured at 5% to 7%</w:t>
      </w:r>
      <w:r w:rsidR="00515806">
        <w:rPr>
          <w:sz w:val="24"/>
          <w:szCs w:val="24"/>
        </w:rPr>
        <w:t xml:space="preserve"> (</w:t>
      </w:r>
      <w:proofErr w:type="spellStart"/>
      <w:r w:rsidR="00515806">
        <w:rPr>
          <w:sz w:val="24"/>
          <w:szCs w:val="24"/>
        </w:rPr>
        <w:t>clineometer</w:t>
      </w:r>
      <w:proofErr w:type="spellEnd"/>
      <w:r w:rsidR="00515806">
        <w:rPr>
          <w:sz w:val="24"/>
          <w:szCs w:val="24"/>
        </w:rPr>
        <w:t>)</w:t>
      </w:r>
      <w:r>
        <w:rPr>
          <w:sz w:val="24"/>
          <w:szCs w:val="24"/>
        </w:rPr>
        <w:t xml:space="preserve"> while the higher elevations on the ridge where </w:t>
      </w:r>
      <w:r w:rsidRPr="00B43F90">
        <w:rPr>
          <w:b/>
          <w:sz w:val="24"/>
          <w:szCs w:val="24"/>
        </w:rPr>
        <w:t>building cannot occur</w:t>
      </w:r>
      <w:r>
        <w:rPr>
          <w:sz w:val="24"/>
          <w:szCs w:val="24"/>
        </w:rPr>
        <w:t xml:space="preserve"> were in the average of 25% indicating</w:t>
      </w:r>
      <w:r w:rsidR="00B43F90">
        <w:rPr>
          <w:sz w:val="24"/>
          <w:szCs w:val="24"/>
        </w:rPr>
        <w:t xml:space="preserve"> that slopes in the designed build envelope are below slope driven wildfire consideration (typically </w:t>
      </w:r>
      <w:r w:rsidR="00AE156C">
        <w:rPr>
          <w:sz w:val="24"/>
          <w:szCs w:val="24"/>
        </w:rPr>
        <w:t>greater than 10%).</w:t>
      </w:r>
    </w:p>
    <w:p w:rsidR="00AE156C" w:rsidRDefault="00F33ABC" w:rsidP="00B74543">
      <w:pPr>
        <w:rPr>
          <w:b/>
          <w:sz w:val="24"/>
          <w:szCs w:val="24"/>
        </w:rPr>
      </w:pPr>
      <w:proofErr w:type="spellStart"/>
      <w:r>
        <w:rPr>
          <w:b/>
          <w:sz w:val="24"/>
          <w:szCs w:val="24"/>
        </w:rPr>
        <w:t>Widland</w:t>
      </w:r>
      <w:proofErr w:type="spellEnd"/>
      <w:r>
        <w:rPr>
          <w:b/>
          <w:sz w:val="24"/>
          <w:szCs w:val="24"/>
        </w:rPr>
        <w:t xml:space="preserve"> Fire F</w:t>
      </w:r>
      <w:r w:rsidR="00AE156C" w:rsidRPr="00F33ABC">
        <w:rPr>
          <w:b/>
          <w:sz w:val="24"/>
          <w:szCs w:val="24"/>
        </w:rPr>
        <w:t>uel</w:t>
      </w:r>
      <w:r>
        <w:rPr>
          <w:b/>
          <w:sz w:val="24"/>
          <w:szCs w:val="24"/>
        </w:rPr>
        <w:t>s:</w:t>
      </w:r>
    </w:p>
    <w:p w:rsidR="00F33ABC" w:rsidRDefault="00F33ABC" w:rsidP="00B74543">
      <w:pPr>
        <w:rPr>
          <w:sz w:val="24"/>
          <w:szCs w:val="24"/>
        </w:rPr>
      </w:pPr>
      <w:r>
        <w:rPr>
          <w:sz w:val="24"/>
          <w:szCs w:val="24"/>
        </w:rPr>
        <w:t>Existing wildland fire fuels on this site are Fuel Model A and Fuel Model B as found in NFPA 1140 (Fuel Model 1 and Fuel Model 4, NFDRS</w:t>
      </w:r>
      <w:r w:rsidR="00BE5ED8">
        <w:rPr>
          <w:sz w:val="24"/>
          <w:szCs w:val="24"/>
        </w:rPr>
        <w:t>). In predicting fire behavior the tons per acre as indicated in the NFDRS classification are below the threshold of TPA found in this description for Fuel Model 4.</w:t>
      </w:r>
    </w:p>
    <w:p w:rsidR="00BE5ED8" w:rsidRDefault="00BE5ED8" w:rsidP="00B74543">
      <w:pPr>
        <w:rPr>
          <w:b/>
          <w:sz w:val="24"/>
          <w:szCs w:val="24"/>
        </w:rPr>
      </w:pPr>
      <w:r>
        <w:rPr>
          <w:sz w:val="24"/>
          <w:szCs w:val="24"/>
        </w:rPr>
        <w:t xml:space="preserve">Fuel Model A – Represents Western grasslands vegetated by annual grasses and forbs. While in the green or growing phase the grasses are still classified as a 1 Hour Fuel and increases ignitability potential when the grass enters the cured phase after Monson periods and the grass attains the golden cured coloration. </w:t>
      </w:r>
      <w:r>
        <w:rPr>
          <w:b/>
          <w:sz w:val="24"/>
          <w:szCs w:val="24"/>
        </w:rPr>
        <w:t>The grasses observed had a moderate continuity in stems per square foot and were approximately 4” to 6” tall.</w:t>
      </w:r>
    </w:p>
    <w:p w:rsidR="00BE5ED8" w:rsidRDefault="00BE5ED8" w:rsidP="00B74543">
      <w:pPr>
        <w:rPr>
          <w:b/>
          <w:sz w:val="24"/>
          <w:szCs w:val="24"/>
        </w:rPr>
      </w:pPr>
      <w:r>
        <w:rPr>
          <w:sz w:val="24"/>
          <w:szCs w:val="24"/>
        </w:rPr>
        <w:t xml:space="preserve">Fuel Model B – Represents mature, dense fields of brush 6’ or more in height. In this fuel model the </w:t>
      </w:r>
      <w:r w:rsidR="007A2588">
        <w:rPr>
          <w:sz w:val="24"/>
          <w:szCs w:val="24"/>
        </w:rPr>
        <w:t xml:space="preserve">crowns of the shrub may contain up to one quarter decadent (dead) material which increases a mid-level canopy fire and indicates a higher degree of potential fire carry. </w:t>
      </w:r>
      <w:r w:rsidR="007A2588">
        <w:rPr>
          <w:b/>
          <w:sz w:val="24"/>
          <w:szCs w:val="24"/>
        </w:rPr>
        <w:t>The Gamble Oak observed contained this amount of decadent material within the canopy of the plant with a high percentage of dead stalk material that has not released to become ground positioned fuels.</w:t>
      </w:r>
    </w:p>
    <w:p w:rsidR="006E7811" w:rsidRDefault="006E7811" w:rsidP="00B74543">
      <w:pPr>
        <w:rPr>
          <w:sz w:val="24"/>
          <w:szCs w:val="24"/>
        </w:rPr>
      </w:pPr>
      <w:r>
        <w:rPr>
          <w:b/>
          <w:sz w:val="24"/>
          <w:szCs w:val="24"/>
        </w:rPr>
        <w:t xml:space="preserve">Proximity Fuels: </w:t>
      </w:r>
    </w:p>
    <w:p w:rsidR="006E7811" w:rsidRDefault="006E7811" w:rsidP="00B74543">
      <w:pPr>
        <w:rPr>
          <w:sz w:val="24"/>
          <w:szCs w:val="24"/>
        </w:rPr>
      </w:pPr>
      <w:r>
        <w:rPr>
          <w:sz w:val="24"/>
          <w:szCs w:val="24"/>
        </w:rPr>
        <w:t>The natural cover fuels immediately to the east of this site are well mitigated from previous building on these sites, the Gamble Oak has been greatly reduced on the neighboring parcels to a manageable level for fire response forces.</w:t>
      </w:r>
    </w:p>
    <w:p w:rsidR="006E7811" w:rsidRDefault="006E7811" w:rsidP="00B74543">
      <w:pPr>
        <w:rPr>
          <w:sz w:val="24"/>
          <w:szCs w:val="24"/>
        </w:rPr>
      </w:pPr>
      <w:r>
        <w:rPr>
          <w:sz w:val="24"/>
          <w:szCs w:val="24"/>
        </w:rPr>
        <w:t>Fuels to the south of this site are on the USAF property and include a mix of grass, Ponderosa Pine and Gamble Oak. A fuel break along what is the North Boundary of USAF property exists that would be sufficient to hold a fire off the Air Force property in the case of North winds which are frequent in this area and responsible for significant fire growth in the region.</w:t>
      </w:r>
    </w:p>
    <w:p w:rsidR="006E7811" w:rsidRDefault="006E7811" w:rsidP="00B74543">
      <w:pPr>
        <w:rPr>
          <w:sz w:val="24"/>
          <w:szCs w:val="24"/>
        </w:rPr>
      </w:pPr>
      <w:r>
        <w:rPr>
          <w:sz w:val="24"/>
          <w:szCs w:val="24"/>
        </w:rPr>
        <w:lastRenderedPageBreak/>
        <w:t>Fuels to the west of the development site are Gamble Oak, grass and Ponderosa Pine in an increasing density that ladder fuels (grass to Oak to Pine) would prove a significant generator of airborne embers that could impact the development site should a Westerly wind impact the area during a wildfire (Black Forest Fire and Waldo Canyon Fire are historic fires with this wind component)</w:t>
      </w:r>
      <w:r w:rsidR="001E1D28">
        <w:rPr>
          <w:sz w:val="24"/>
          <w:szCs w:val="24"/>
        </w:rPr>
        <w:t>.</w:t>
      </w:r>
    </w:p>
    <w:p w:rsidR="0094416C" w:rsidRDefault="0094416C" w:rsidP="00B74543">
      <w:pPr>
        <w:rPr>
          <w:sz w:val="24"/>
          <w:szCs w:val="24"/>
        </w:rPr>
      </w:pPr>
      <w:r>
        <w:rPr>
          <w:sz w:val="24"/>
          <w:szCs w:val="24"/>
        </w:rPr>
        <w:t>Fuels to the north of this site consist of grass and widely dispersed Gamble Oak and Mountain Mahogany, this area does not represent a wildfire spread or fire spotting factor to the development site. In addition Hay Creek Road provides a barrier to wildfire spread this is a 24’ wide, paved roadway with 4’ shoulders.</w:t>
      </w:r>
    </w:p>
    <w:p w:rsidR="00515806" w:rsidRPr="00515806" w:rsidRDefault="00515806" w:rsidP="00B74543">
      <w:pPr>
        <w:rPr>
          <w:sz w:val="24"/>
          <w:szCs w:val="24"/>
        </w:rPr>
      </w:pPr>
      <w:r>
        <w:rPr>
          <w:b/>
          <w:sz w:val="24"/>
          <w:szCs w:val="24"/>
        </w:rPr>
        <w:t xml:space="preserve">Colorado Wildfire Risk Viewer: </w:t>
      </w:r>
      <w:r>
        <w:rPr>
          <w:sz w:val="24"/>
          <w:szCs w:val="24"/>
        </w:rPr>
        <w:t xml:space="preserve">The Risk Viewer indicates a Moderate level of wildfire risk on this development site with the small exception of a </w:t>
      </w:r>
      <w:r w:rsidR="00F94D82">
        <w:rPr>
          <w:sz w:val="24"/>
          <w:szCs w:val="24"/>
        </w:rPr>
        <w:t xml:space="preserve">SW corner of the property which attains a High level. This High level should not be considered a factor in development as it is a small area of undevelopable land and is situated upslope of any building sites or any neighboring fuel, fire behavior would tend to be moving a fire </w:t>
      </w:r>
      <w:proofErr w:type="spellStart"/>
      <w:r w:rsidR="00F94D82">
        <w:rPr>
          <w:sz w:val="24"/>
          <w:szCs w:val="24"/>
        </w:rPr>
        <w:t>upsloe</w:t>
      </w:r>
      <w:proofErr w:type="spellEnd"/>
      <w:r w:rsidR="00F94D82">
        <w:rPr>
          <w:sz w:val="24"/>
          <w:szCs w:val="24"/>
        </w:rPr>
        <w:t xml:space="preserve"> away from the Hidden Creek Estates.</w:t>
      </w:r>
    </w:p>
    <w:p w:rsidR="0094416C" w:rsidRDefault="0094416C" w:rsidP="00B74543">
      <w:pPr>
        <w:rPr>
          <w:sz w:val="24"/>
          <w:szCs w:val="24"/>
        </w:rPr>
      </w:pPr>
    </w:p>
    <w:p w:rsidR="0094416C" w:rsidRDefault="0094416C" w:rsidP="00B74543">
      <w:pPr>
        <w:rPr>
          <w:b/>
          <w:sz w:val="24"/>
          <w:szCs w:val="24"/>
        </w:rPr>
      </w:pPr>
      <w:r>
        <w:rPr>
          <w:b/>
          <w:sz w:val="24"/>
          <w:szCs w:val="24"/>
        </w:rPr>
        <w:t>Fire History:</w:t>
      </w:r>
    </w:p>
    <w:p w:rsidR="0094416C" w:rsidRDefault="0094416C" w:rsidP="00B74543">
      <w:pPr>
        <w:rPr>
          <w:sz w:val="24"/>
          <w:szCs w:val="24"/>
        </w:rPr>
      </w:pPr>
      <w:r>
        <w:rPr>
          <w:sz w:val="24"/>
          <w:szCs w:val="24"/>
        </w:rPr>
        <w:t xml:space="preserve">The development site has not experienced any wildfire activity. A small grass fire in the Hay Creek Drainage in grass fuels during the </w:t>
      </w:r>
      <w:proofErr w:type="gramStart"/>
      <w:r>
        <w:rPr>
          <w:sz w:val="24"/>
          <w:szCs w:val="24"/>
        </w:rPr>
        <w:t>Spring</w:t>
      </w:r>
      <w:proofErr w:type="gramEnd"/>
      <w:r>
        <w:rPr>
          <w:sz w:val="24"/>
          <w:szCs w:val="24"/>
        </w:rPr>
        <w:t xml:space="preserve"> green up of fuels but was quickly contained to under 20 acres with no structure impingement or structure loss.</w:t>
      </w:r>
    </w:p>
    <w:p w:rsidR="0094416C" w:rsidRDefault="0094416C" w:rsidP="00B74543">
      <w:pPr>
        <w:rPr>
          <w:sz w:val="24"/>
          <w:szCs w:val="24"/>
        </w:rPr>
      </w:pPr>
      <w:r>
        <w:rPr>
          <w:sz w:val="24"/>
          <w:szCs w:val="24"/>
        </w:rPr>
        <w:t>The Berry Fire of April, 1989 had a point of origin less than 2 miles north of the site, the fire burned in Gamble Oak, grass and Ponderosa Pine burning onto the USFS property at the current Fire Center for the PSI NF for no destruction to structures. The Berry Fire was a slope driven fire with no wind component to intensify wildfire behavior.</w:t>
      </w:r>
    </w:p>
    <w:p w:rsidR="0094416C" w:rsidRDefault="0094416C" w:rsidP="00B74543">
      <w:pPr>
        <w:rPr>
          <w:sz w:val="24"/>
          <w:szCs w:val="24"/>
        </w:rPr>
      </w:pPr>
    </w:p>
    <w:p w:rsidR="0094416C" w:rsidRDefault="0094416C" w:rsidP="00B74543">
      <w:pPr>
        <w:rPr>
          <w:b/>
          <w:sz w:val="24"/>
          <w:szCs w:val="24"/>
        </w:rPr>
      </w:pPr>
      <w:r>
        <w:rPr>
          <w:b/>
          <w:sz w:val="24"/>
          <w:szCs w:val="24"/>
        </w:rPr>
        <w:t>Fire Behavior:</w:t>
      </w:r>
    </w:p>
    <w:p w:rsidR="0094416C" w:rsidRDefault="0094416C" w:rsidP="00B74543">
      <w:pPr>
        <w:rPr>
          <w:sz w:val="24"/>
          <w:szCs w:val="24"/>
        </w:rPr>
      </w:pPr>
      <w:r>
        <w:rPr>
          <w:sz w:val="24"/>
          <w:szCs w:val="24"/>
        </w:rPr>
        <w:t xml:space="preserve">The expected fire behavior on this site would indicate a slow moving grass fire </w:t>
      </w:r>
      <w:r w:rsidR="00982AFA">
        <w:rPr>
          <w:sz w:val="24"/>
          <w:szCs w:val="24"/>
        </w:rPr>
        <w:t xml:space="preserve">due to the low compactness and density of the grass fuels, with flame lengths being under 12” this would create a </w:t>
      </w:r>
      <w:proofErr w:type="spellStart"/>
      <w:r w:rsidR="00982AFA">
        <w:rPr>
          <w:sz w:val="24"/>
          <w:szCs w:val="24"/>
        </w:rPr>
        <w:t>fireline</w:t>
      </w:r>
      <w:proofErr w:type="spellEnd"/>
      <w:r w:rsidR="00982AFA">
        <w:rPr>
          <w:sz w:val="24"/>
          <w:szCs w:val="24"/>
        </w:rPr>
        <w:t xml:space="preserve"> intensity of approximately 5 BTU Sec/Ft, well within the direct attack methods of firefighters directly on the line. Suppression should occur with a minimal amount of acreage involved and mobile attack by Type III/VI Engines should prove successful due to the low grade inputs and soil firmness for traction.</w:t>
      </w:r>
    </w:p>
    <w:p w:rsidR="00982AFA" w:rsidRPr="0094416C" w:rsidRDefault="00982AFA" w:rsidP="00B74543">
      <w:pPr>
        <w:rPr>
          <w:sz w:val="24"/>
          <w:szCs w:val="24"/>
        </w:rPr>
      </w:pPr>
      <w:r>
        <w:rPr>
          <w:sz w:val="24"/>
          <w:szCs w:val="24"/>
        </w:rPr>
        <w:t xml:space="preserve">Should fire involve the grass and litter fuels under the Gamble Oak the low fire intensity would take three to four chains to develop sufficient heat output to involve the Gamble Oak canopy. Fire involving the oak canopy is problematic during the green leaf phase of the growing season and in the case of hung fuels, meaning the leaf material has cured (dried) but not dropped to the surface. Should a fire involve the canopy of the unmitigated oak the </w:t>
      </w:r>
      <w:proofErr w:type="spellStart"/>
      <w:r>
        <w:rPr>
          <w:sz w:val="24"/>
          <w:szCs w:val="24"/>
        </w:rPr>
        <w:t>fireline</w:t>
      </w:r>
      <w:proofErr w:type="spellEnd"/>
      <w:r>
        <w:rPr>
          <w:sz w:val="24"/>
          <w:szCs w:val="24"/>
        </w:rPr>
        <w:t xml:space="preserve"> intensity would </w:t>
      </w:r>
      <w:r>
        <w:rPr>
          <w:sz w:val="24"/>
          <w:szCs w:val="24"/>
        </w:rPr>
        <w:lastRenderedPageBreak/>
        <w:t xml:space="preserve">be expected to indicate flame lengths of 8’ generating a </w:t>
      </w:r>
      <w:proofErr w:type="spellStart"/>
      <w:r>
        <w:rPr>
          <w:sz w:val="24"/>
          <w:szCs w:val="24"/>
        </w:rPr>
        <w:t>fireline</w:t>
      </w:r>
      <w:proofErr w:type="spellEnd"/>
      <w:r>
        <w:rPr>
          <w:sz w:val="24"/>
          <w:szCs w:val="24"/>
        </w:rPr>
        <w:t xml:space="preserve"> intensity of 503+ BTU Sec/Ft. requiring </w:t>
      </w:r>
      <w:r w:rsidR="007B46DC">
        <w:rPr>
          <w:sz w:val="24"/>
          <w:szCs w:val="24"/>
        </w:rPr>
        <w:t xml:space="preserve">heavy equipment or aerial attack assets to suppress the </w:t>
      </w:r>
      <w:proofErr w:type="gramStart"/>
      <w:r w:rsidR="007B46DC">
        <w:rPr>
          <w:sz w:val="24"/>
          <w:szCs w:val="24"/>
        </w:rPr>
        <w:t>fire.</w:t>
      </w:r>
      <w:proofErr w:type="gramEnd"/>
      <w:r w:rsidR="007B46DC">
        <w:rPr>
          <w:sz w:val="24"/>
          <w:szCs w:val="24"/>
        </w:rPr>
        <w:t xml:space="preserve"> </w:t>
      </w:r>
      <w:r w:rsidR="007B46DC" w:rsidRPr="00342A73">
        <w:rPr>
          <w:b/>
          <w:sz w:val="24"/>
          <w:szCs w:val="24"/>
        </w:rPr>
        <w:t>Division of this fuel bed into clusters is critical in reducing fire spread and fire intensity.</w:t>
      </w:r>
    </w:p>
    <w:p w:rsidR="00605B8C" w:rsidRDefault="00605B8C" w:rsidP="00B74543">
      <w:pPr>
        <w:rPr>
          <w:b/>
          <w:sz w:val="24"/>
          <w:szCs w:val="24"/>
        </w:rPr>
      </w:pPr>
      <w:r>
        <w:rPr>
          <w:b/>
          <w:sz w:val="24"/>
          <w:szCs w:val="24"/>
        </w:rPr>
        <w:t>Given the survey findings that indicate adjacent vegetation is a significant ember producing fuel bed and the Colorado Wildfire Risk Viewer indicates this area is rated as a Moderate Fire Intensity this will assist in determining the Structure Hardening level and the Site and Area Requirements (mitigation).</w:t>
      </w:r>
    </w:p>
    <w:p w:rsidR="00F94D82" w:rsidRDefault="00F94D82" w:rsidP="00B74543">
      <w:pPr>
        <w:rPr>
          <w:b/>
          <w:sz w:val="24"/>
          <w:szCs w:val="24"/>
        </w:rPr>
      </w:pPr>
    </w:p>
    <w:p w:rsidR="00605B8C" w:rsidRDefault="00F94D82" w:rsidP="00F94D82">
      <w:pPr>
        <w:jc w:val="center"/>
        <w:rPr>
          <w:b/>
          <w:sz w:val="24"/>
          <w:szCs w:val="24"/>
        </w:rPr>
      </w:pPr>
      <w:r>
        <w:rPr>
          <w:b/>
          <w:sz w:val="28"/>
          <w:szCs w:val="28"/>
        </w:rPr>
        <w:t>SITE</w:t>
      </w:r>
      <w:r w:rsidRPr="00F94D82">
        <w:rPr>
          <w:b/>
          <w:sz w:val="28"/>
          <w:szCs w:val="28"/>
        </w:rPr>
        <w:t xml:space="preserve"> </w:t>
      </w:r>
      <w:r>
        <w:rPr>
          <w:b/>
          <w:sz w:val="28"/>
          <w:szCs w:val="28"/>
        </w:rPr>
        <w:t>WILDFIRE MITIGATION REQUIREMNTS</w:t>
      </w:r>
    </w:p>
    <w:p w:rsidR="00605B8C" w:rsidRDefault="00605B8C" w:rsidP="00B74543">
      <w:pPr>
        <w:rPr>
          <w:b/>
          <w:sz w:val="24"/>
          <w:szCs w:val="24"/>
        </w:rPr>
      </w:pPr>
    </w:p>
    <w:p w:rsidR="00605B8C" w:rsidRDefault="00605B8C" w:rsidP="00605B8C">
      <w:pPr>
        <w:rPr>
          <w:sz w:val="24"/>
          <w:szCs w:val="24"/>
        </w:rPr>
      </w:pPr>
      <w:r>
        <w:rPr>
          <w:sz w:val="24"/>
          <w:szCs w:val="24"/>
        </w:rPr>
        <w:t>Mitigation around a structure is defined by 3 primary and distinct zones and mitigation requirements for each zone are defined i</w:t>
      </w:r>
      <w:r w:rsidR="00342A73">
        <w:rPr>
          <w:sz w:val="24"/>
          <w:szCs w:val="24"/>
        </w:rPr>
        <w:t>n the Colorado State University Cooperative Extension Fact Sheet 6.302</w:t>
      </w:r>
      <w:r>
        <w:rPr>
          <w:sz w:val="24"/>
          <w:szCs w:val="24"/>
        </w:rPr>
        <w:t>.</w:t>
      </w:r>
    </w:p>
    <w:p w:rsidR="00605B8C" w:rsidRPr="000A6340" w:rsidRDefault="00605B8C" w:rsidP="00605B8C">
      <w:pPr>
        <w:ind w:left="720"/>
        <w:rPr>
          <w:b/>
          <w:sz w:val="24"/>
          <w:szCs w:val="24"/>
        </w:rPr>
      </w:pPr>
      <w:r>
        <w:rPr>
          <w:b/>
          <w:sz w:val="24"/>
          <w:szCs w:val="24"/>
        </w:rPr>
        <w:t>Zone 1 – Immediate Zone 0’ -</w:t>
      </w:r>
      <w:r w:rsidR="00342A73">
        <w:rPr>
          <w:b/>
          <w:sz w:val="24"/>
          <w:szCs w:val="24"/>
        </w:rPr>
        <w:t>1</w:t>
      </w:r>
      <w:r>
        <w:rPr>
          <w:b/>
          <w:sz w:val="24"/>
          <w:szCs w:val="24"/>
        </w:rPr>
        <w:t>5</w:t>
      </w:r>
      <w:r w:rsidR="00342A73">
        <w:rPr>
          <w:b/>
          <w:sz w:val="24"/>
          <w:szCs w:val="24"/>
        </w:rPr>
        <w:t>/30’</w:t>
      </w:r>
      <w:r>
        <w:rPr>
          <w:b/>
          <w:sz w:val="24"/>
          <w:szCs w:val="24"/>
        </w:rPr>
        <w:t xml:space="preserve"> </w:t>
      </w:r>
      <w:r w:rsidRPr="000A6340">
        <w:rPr>
          <w:sz w:val="24"/>
          <w:szCs w:val="24"/>
        </w:rPr>
        <w:t>(measured</w:t>
      </w:r>
      <w:r>
        <w:rPr>
          <w:sz w:val="24"/>
          <w:szCs w:val="24"/>
        </w:rPr>
        <w:t xml:space="preserve"> from soffit protrusion</w:t>
      </w:r>
      <w:r w:rsidR="000A6340">
        <w:rPr>
          <w:sz w:val="24"/>
          <w:szCs w:val="24"/>
        </w:rPr>
        <w:t>, decks or other protrusions</w:t>
      </w:r>
      <w:r>
        <w:rPr>
          <w:sz w:val="24"/>
          <w:szCs w:val="24"/>
        </w:rPr>
        <w:t>)</w:t>
      </w:r>
      <w:r>
        <w:rPr>
          <w:b/>
          <w:sz w:val="24"/>
          <w:szCs w:val="24"/>
        </w:rPr>
        <w:t xml:space="preserve"> </w:t>
      </w:r>
      <w:proofErr w:type="gramStart"/>
      <w:r w:rsidR="000A6340">
        <w:rPr>
          <w:sz w:val="24"/>
          <w:szCs w:val="24"/>
        </w:rPr>
        <w:t>This</w:t>
      </w:r>
      <w:proofErr w:type="gramEnd"/>
      <w:r w:rsidR="000A6340">
        <w:rPr>
          <w:sz w:val="24"/>
          <w:szCs w:val="24"/>
        </w:rPr>
        <w:t xml:space="preserve"> zone should have no flammable vegetation plantings within 5’ of the structure. Install non-flammable ground cover. Prune and maintain any shrubs within this zone to reduce dead vegetation, keep lawns and grasses irrigated and keep any grasses in this zone to a maximum height of 4” do not store firewood in this zone. </w:t>
      </w:r>
      <w:r w:rsidR="000A6340" w:rsidRPr="000A6340">
        <w:rPr>
          <w:b/>
          <w:sz w:val="24"/>
          <w:szCs w:val="24"/>
        </w:rPr>
        <w:t xml:space="preserve">It is critical to keep flammable vegetation a distance of 5’ from the structure. </w:t>
      </w:r>
    </w:p>
    <w:p w:rsidR="00605B8C" w:rsidRDefault="00342A73" w:rsidP="00605B8C">
      <w:pPr>
        <w:ind w:left="720"/>
        <w:rPr>
          <w:sz w:val="24"/>
          <w:szCs w:val="24"/>
        </w:rPr>
      </w:pPr>
      <w:r>
        <w:rPr>
          <w:b/>
          <w:sz w:val="24"/>
          <w:szCs w:val="24"/>
        </w:rPr>
        <w:t>Zone 2 – Intermediate Zone 30</w:t>
      </w:r>
      <w:r w:rsidR="00605B8C">
        <w:rPr>
          <w:b/>
          <w:sz w:val="24"/>
          <w:szCs w:val="24"/>
        </w:rPr>
        <w:t>’ –</w:t>
      </w:r>
      <w:r>
        <w:rPr>
          <w:b/>
          <w:sz w:val="24"/>
          <w:szCs w:val="24"/>
        </w:rPr>
        <w:t xml:space="preserve"> 100</w:t>
      </w:r>
      <w:r w:rsidR="00605B8C">
        <w:rPr>
          <w:b/>
          <w:sz w:val="24"/>
          <w:szCs w:val="24"/>
        </w:rPr>
        <w:t>’ from structure.</w:t>
      </w:r>
      <w:r w:rsidR="00605B8C">
        <w:rPr>
          <w:sz w:val="24"/>
          <w:szCs w:val="24"/>
        </w:rPr>
        <w:t xml:space="preserve"> Lawns or natura</w:t>
      </w:r>
      <w:r w:rsidR="00883664">
        <w:rPr>
          <w:sz w:val="24"/>
          <w:szCs w:val="24"/>
        </w:rPr>
        <w:t>l grasses should be mowed to a 6</w:t>
      </w:r>
      <w:r w:rsidR="00605B8C">
        <w:rPr>
          <w:sz w:val="24"/>
          <w:szCs w:val="24"/>
        </w:rPr>
        <w:t xml:space="preserve">” high (maximum). Tree crowns should have </w:t>
      </w:r>
      <w:r w:rsidR="000A6340">
        <w:rPr>
          <w:sz w:val="24"/>
          <w:szCs w:val="24"/>
        </w:rPr>
        <w:t xml:space="preserve">a 10’ </w:t>
      </w:r>
      <w:r w:rsidR="00605B8C">
        <w:rPr>
          <w:sz w:val="24"/>
          <w:szCs w:val="24"/>
        </w:rPr>
        <w:t>separation between crowns.</w:t>
      </w:r>
      <w:r w:rsidR="000A6340">
        <w:rPr>
          <w:sz w:val="24"/>
          <w:szCs w:val="24"/>
        </w:rPr>
        <w:t xml:space="preserve"> Remove ladder fuels to prevent canopy inclusion in fire</w:t>
      </w:r>
      <w:r w:rsidR="00883664">
        <w:rPr>
          <w:sz w:val="24"/>
          <w:szCs w:val="24"/>
        </w:rPr>
        <w:t>. Trim all trees so no branch wood is within 10’ of the ground and any shrubs should be maintained by removing dead material from the site. Brush fuels such as Gamble Oak should not be within this zone.</w:t>
      </w:r>
    </w:p>
    <w:p w:rsidR="00605B8C" w:rsidRDefault="00605B8C" w:rsidP="00883664">
      <w:pPr>
        <w:ind w:left="720"/>
        <w:rPr>
          <w:sz w:val="24"/>
          <w:szCs w:val="24"/>
        </w:rPr>
      </w:pPr>
      <w:r w:rsidRPr="00605B8C">
        <w:rPr>
          <w:b/>
          <w:sz w:val="24"/>
          <w:szCs w:val="24"/>
        </w:rPr>
        <w:t xml:space="preserve">Zone 3 – Extended Zone </w:t>
      </w:r>
      <w:r w:rsidR="00342A73">
        <w:rPr>
          <w:b/>
          <w:sz w:val="24"/>
          <w:szCs w:val="24"/>
        </w:rPr>
        <w:t>100+</w:t>
      </w:r>
      <w:r>
        <w:rPr>
          <w:b/>
          <w:sz w:val="24"/>
          <w:szCs w:val="24"/>
        </w:rPr>
        <w:t xml:space="preserve"> from structure.</w:t>
      </w:r>
      <w:r w:rsidR="00883664">
        <w:rPr>
          <w:b/>
          <w:sz w:val="24"/>
          <w:szCs w:val="24"/>
        </w:rPr>
        <w:t xml:space="preserve"> Zone 3 </w:t>
      </w:r>
      <w:r w:rsidR="00883664">
        <w:rPr>
          <w:sz w:val="24"/>
          <w:szCs w:val="24"/>
        </w:rPr>
        <w:t>in the Hidden Creek Estates would extend to the ridge behind the structure build zones, in this zone the Gamble Oak should be divided into clumps of approximately 10’ in diameter with seasonal cleaning of the ground litter that occurs after growing season drop of leaves and branch wood.</w:t>
      </w:r>
      <w:r w:rsidR="00D037B4">
        <w:rPr>
          <w:sz w:val="24"/>
          <w:szCs w:val="24"/>
        </w:rPr>
        <w:t xml:space="preserve"> Grasses in this zone should be maintained to a height of no greater than 4” under the Gamble Oak and the branches of the Oak should be trimmed to a minimum height of 24” above the ground creating a thermal resistance space. </w:t>
      </w:r>
      <w:r w:rsidR="00883664">
        <w:rPr>
          <w:sz w:val="24"/>
          <w:szCs w:val="24"/>
        </w:rPr>
        <w:t xml:space="preserve"> The separation of clumps should be developed by calculating the height of the Gamb</w:t>
      </w:r>
      <w:r w:rsidR="00D037B4">
        <w:rPr>
          <w:sz w:val="24"/>
          <w:szCs w:val="24"/>
        </w:rPr>
        <w:t>le Oak and creating a space 1.5 times</w:t>
      </w:r>
      <w:r w:rsidR="00883664">
        <w:rPr>
          <w:sz w:val="24"/>
          <w:szCs w:val="24"/>
        </w:rPr>
        <w:t xml:space="preserve"> the height of the oak brush.</w:t>
      </w:r>
    </w:p>
    <w:p w:rsidR="00D037B4" w:rsidRPr="00D037B4" w:rsidRDefault="00D037B4" w:rsidP="00883664">
      <w:pPr>
        <w:ind w:left="720"/>
        <w:rPr>
          <w:sz w:val="24"/>
          <w:szCs w:val="24"/>
        </w:rPr>
      </w:pPr>
      <w:r>
        <w:rPr>
          <w:b/>
          <w:sz w:val="24"/>
          <w:szCs w:val="24"/>
        </w:rPr>
        <w:t xml:space="preserve">Beyond Zone 3 – </w:t>
      </w:r>
      <w:r>
        <w:rPr>
          <w:sz w:val="24"/>
          <w:szCs w:val="24"/>
        </w:rPr>
        <w:t xml:space="preserve">The threat from the broken fuel beds of Gamble Oak in the area beyond 100’ should be managed to reduce the total and cumulative thermal output of </w:t>
      </w:r>
      <w:r>
        <w:rPr>
          <w:sz w:val="24"/>
          <w:szCs w:val="24"/>
        </w:rPr>
        <w:lastRenderedPageBreak/>
        <w:t>this area. To accomplish this the area should be interlaced with fuel breaks constructed to 1.5 times the fuel height to prevent burning vegetation from impacting neighboring units. In these areas maintenance of grasses to 4” high is not necessary and removal of foliage and branch wood would not be necessary to the 24” height as in Zone 3. There are existing clear areas that can be incorporated into burn unit separation, this would also provide for fire suppression access into the field of Gamble Oak.</w:t>
      </w:r>
    </w:p>
    <w:p w:rsidR="00605B8C" w:rsidRDefault="00605B8C" w:rsidP="00BC421C">
      <w:pPr>
        <w:pStyle w:val="ListParagraph"/>
        <w:numPr>
          <w:ilvl w:val="0"/>
          <w:numId w:val="2"/>
        </w:numPr>
        <w:rPr>
          <w:b/>
          <w:sz w:val="24"/>
          <w:szCs w:val="24"/>
        </w:rPr>
      </w:pPr>
      <w:r w:rsidRPr="00BC421C">
        <w:rPr>
          <w:b/>
          <w:sz w:val="24"/>
          <w:szCs w:val="24"/>
        </w:rPr>
        <w:t>Special Note for Hidden Creek Estates: The elimination of the Gamble Oak in total</w:t>
      </w:r>
      <w:r w:rsidR="00883664" w:rsidRPr="00BC421C">
        <w:rPr>
          <w:b/>
          <w:sz w:val="24"/>
          <w:szCs w:val="24"/>
        </w:rPr>
        <w:t>it</w:t>
      </w:r>
      <w:r w:rsidRPr="00BC421C">
        <w:rPr>
          <w:b/>
          <w:sz w:val="24"/>
          <w:szCs w:val="24"/>
        </w:rPr>
        <w:t>y beyond the Extended Zone may prove detrimental for soil stabilization as the slopes increase, therefore I do not recommend total eradication of this natural cove</w:t>
      </w:r>
      <w:r w:rsidR="00BC421C">
        <w:rPr>
          <w:b/>
          <w:sz w:val="24"/>
          <w:szCs w:val="24"/>
        </w:rPr>
        <w:t>r in the distant zone or beyond, unless a ground cover re-vegetation plan is developed.</w:t>
      </w:r>
    </w:p>
    <w:p w:rsidR="00BC421C" w:rsidRDefault="00BC421C" w:rsidP="00BC421C">
      <w:pPr>
        <w:pStyle w:val="ListParagraph"/>
        <w:ind w:left="1080"/>
        <w:rPr>
          <w:b/>
          <w:sz w:val="24"/>
          <w:szCs w:val="24"/>
        </w:rPr>
      </w:pPr>
    </w:p>
    <w:p w:rsidR="00BC421C" w:rsidRDefault="00BC421C" w:rsidP="00BC421C">
      <w:pPr>
        <w:pStyle w:val="ListParagraph"/>
        <w:numPr>
          <w:ilvl w:val="0"/>
          <w:numId w:val="2"/>
        </w:numPr>
        <w:rPr>
          <w:b/>
          <w:sz w:val="24"/>
          <w:szCs w:val="24"/>
        </w:rPr>
      </w:pPr>
      <w:r>
        <w:rPr>
          <w:b/>
          <w:sz w:val="24"/>
          <w:szCs w:val="24"/>
        </w:rPr>
        <w:t>Each Builder and Homeowner should obtain a copy of the Colorado State University Cooperative Extension Fact Sheet 6.302 to develop a working knowledge of wildfire mitigation standards.</w:t>
      </w:r>
    </w:p>
    <w:p w:rsidR="00BC421C" w:rsidRDefault="00BC421C" w:rsidP="00BC421C">
      <w:pPr>
        <w:pStyle w:val="ListParagraph"/>
        <w:ind w:left="1080"/>
        <w:rPr>
          <w:b/>
          <w:sz w:val="24"/>
          <w:szCs w:val="24"/>
        </w:rPr>
      </w:pPr>
    </w:p>
    <w:p w:rsidR="00BC421C" w:rsidRDefault="00BC421C" w:rsidP="00BC421C">
      <w:pPr>
        <w:pStyle w:val="ListParagraph"/>
        <w:numPr>
          <w:ilvl w:val="0"/>
          <w:numId w:val="2"/>
        </w:numPr>
        <w:rPr>
          <w:b/>
          <w:sz w:val="24"/>
          <w:szCs w:val="24"/>
        </w:rPr>
      </w:pPr>
      <w:r>
        <w:rPr>
          <w:b/>
          <w:sz w:val="24"/>
          <w:szCs w:val="24"/>
        </w:rPr>
        <w:t>Hidden Creek Estates scale of development does not lend itself to large scale, pre-building mitigation as seen in High Forest Estates or Cathedral Pines. Each home site should be surveyed and evaluated by a qualified CWMS for individualized mitigation requirements.</w:t>
      </w:r>
    </w:p>
    <w:p w:rsidR="00BC421C" w:rsidRPr="00BC421C" w:rsidRDefault="00BC421C" w:rsidP="00BC421C">
      <w:pPr>
        <w:pStyle w:val="ListParagraph"/>
        <w:rPr>
          <w:b/>
          <w:sz w:val="24"/>
          <w:szCs w:val="24"/>
        </w:rPr>
      </w:pPr>
    </w:p>
    <w:p w:rsidR="00BC421C" w:rsidRDefault="00BC421C" w:rsidP="00BC421C">
      <w:pPr>
        <w:pStyle w:val="ListParagraph"/>
        <w:numPr>
          <w:ilvl w:val="0"/>
          <w:numId w:val="2"/>
        </w:numPr>
        <w:rPr>
          <w:b/>
          <w:sz w:val="24"/>
          <w:szCs w:val="24"/>
        </w:rPr>
      </w:pPr>
      <w:r>
        <w:rPr>
          <w:b/>
          <w:sz w:val="24"/>
          <w:szCs w:val="24"/>
        </w:rPr>
        <w:t>Each Homeowner should be provided with a copy of the El Paso County Land Development Code (LDC)</w:t>
      </w:r>
      <w:r w:rsidR="00FC53CC">
        <w:rPr>
          <w:b/>
          <w:sz w:val="24"/>
          <w:szCs w:val="24"/>
        </w:rPr>
        <w:t xml:space="preserve"> Section 6.3.3 D 5 b Maintenance of Defensible Space and Associated Fuel Breaks</w:t>
      </w:r>
    </w:p>
    <w:p w:rsidR="00FC53CC" w:rsidRPr="00FC53CC" w:rsidRDefault="00FC53CC" w:rsidP="00FC53CC">
      <w:pPr>
        <w:pStyle w:val="ListParagraph"/>
        <w:rPr>
          <w:b/>
          <w:sz w:val="24"/>
          <w:szCs w:val="24"/>
        </w:rPr>
      </w:pPr>
    </w:p>
    <w:p w:rsidR="00FC53CC" w:rsidRDefault="00FC53CC" w:rsidP="00BC421C">
      <w:pPr>
        <w:pStyle w:val="ListParagraph"/>
        <w:numPr>
          <w:ilvl w:val="0"/>
          <w:numId w:val="2"/>
        </w:numPr>
        <w:rPr>
          <w:b/>
          <w:sz w:val="24"/>
          <w:szCs w:val="24"/>
        </w:rPr>
      </w:pPr>
      <w:r>
        <w:rPr>
          <w:b/>
          <w:sz w:val="24"/>
          <w:szCs w:val="24"/>
        </w:rPr>
        <w:t>Each set of Plot Plans, Site Development Plans and Home Plans should be stamped with the requirement to maintain the fuels thing and mitigation requirements as set forth by El Paso County with a statement that failure to maintain these mitigation standards and fuels reduction process is a County Zoning violation.</w:t>
      </w:r>
    </w:p>
    <w:p w:rsidR="00F94D82" w:rsidRPr="00F94D82" w:rsidRDefault="00F94D82" w:rsidP="00F94D82">
      <w:pPr>
        <w:pStyle w:val="ListParagraph"/>
        <w:rPr>
          <w:b/>
          <w:sz w:val="24"/>
          <w:szCs w:val="24"/>
        </w:rPr>
      </w:pPr>
    </w:p>
    <w:p w:rsidR="00605B8C" w:rsidRDefault="00F94D82" w:rsidP="006240B3">
      <w:pPr>
        <w:pStyle w:val="ListParagraph"/>
        <w:numPr>
          <w:ilvl w:val="0"/>
          <w:numId w:val="2"/>
        </w:numPr>
        <w:rPr>
          <w:b/>
          <w:sz w:val="24"/>
          <w:szCs w:val="24"/>
        </w:rPr>
      </w:pPr>
      <w:r w:rsidRPr="006240B3">
        <w:rPr>
          <w:b/>
          <w:sz w:val="24"/>
          <w:szCs w:val="24"/>
        </w:rPr>
        <w:t>Any requirements to increase building wildfire resilience mandated by the Building Official for El Paso County should be a requirement for structures built in this area. Applicable Codes and Ordinances for El Paso County (AHJ) will apply to development of these building sites.</w:t>
      </w:r>
    </w:p>
    <w:p w:rsidR="006240B3" w:rsidRPr="006240B3" w:rsidRDefault="006240B3" w:rsidP="006240B3">
      <w:pPr>
        <w:pStyle w:val="ListParagraph"/>
        <w:rPr>
          <w:b/>
          <w:sz w:val="24"/>
          <w:szCs w:val="24"/>
        </w:rPr>
      </w:pPr>
    </w:p>
    <w:p w:rsidR="006240B3" w:rsidRPr="006240B3" w:rsidRDefault="006240B3" w:rsidP="006240B3">
      <w:pPr>
        <w:rPr>
          <w:rFonts w:cstheme="minorHAnsi"/>
          <w:sz w:val="32"/>
          <w:szCs w:val="32"/>
        </w:rPr>
      </w:pPr>
      <w:r w:rsidRPr="006240B3">
        <w:rPr>
          <w:rFonts w:ascii="Freestyle Script" w:hAnsi="Freestyle Script"/>
          <w:sz w:val="52"/>
          <w:szCs w:val="52"/>
        </w:rPr>
        <w:t>Robert C. Harvey</w:t>
      </w:r>
      <w:r>
        <w:rPr>
          <w:rFonts w:ascii="Freestyle Script" w:hAnsi="Freestyle Script"/>
          <w:sz w:val="32"/>
          <w:szCs w:val="32"/>
        </w:rPr>
        <w:t xml:space="preserve">, </w:t>
      </w:r>
      <w:r>
        <w:rPr>
          <w:rFonts w:cstheme="minorHAnsi"/>
          <w:sz w:val="32"/>
          <w:szCs w:val="32"/>
        </w:rPr>
        <w:t>CWMS</w:t>
      </w:r>
      <w:bookmarkStart w:id="0" w:name="_GoBack"/>
      <w:bookmarkEnd w:id="0"/>
    </w:p>
    <w:p w:rsidR="00605B8C" w:rsidRPr="00605B8C" w:rsidRDefault="00605B8C" w:rsidP="00605B8C">
      <w:pPr>
        <w:rPr>
          <w:sz w:val="24"/>
          <w:szCs w:val="24"/>
        </w:rPr>
      </w:pPr>
      <w:r>
        <w:rPr>
          <w:sz w:val="24"/>
          <w:szCs w:val="24"/>
        </w:rPr>
        <w:t xml:space="preserve">   </w:t>
      </w:r>
    </w:p>
    <w:p w:rsidR="00605B8C" w:rsidRPr="00605B8C" w:rsidRDefault="00605B8C" w:rsidP="00605B8C">
      <w:pPr>
        <w:rPr>
          <w:b/>
          <w:sz w:val="24"/>
          <w:szCs w:val="24"/>
        </w:rPr>
      </w:pPr>
    </w:p>
    <w:p w:rsidR="00605B8C" w:rsidRDefault="00605B8C" w:rsidP="00B74543">
      <w:pPr>
        <w:rPr>
          <w:sz w:val="24"/>
          <w:szCs w:val="24"/>
        </w:rPr>
      </w:pPr>
    </w:p>
    <w:p w:rsidR="00605B8C" w:rsidRPr="00605B8C" w:rsidRDefault="00605B8C" w:rsidP="00605B8C">
      <w:pPr>
        <w:jc w:val="center"/>
        <w:rPr>
          <w:sz w:val="24"/>
          <w:szCs w:val="24"/>
        </w:rPr>
      </w:pPr>
    </w:p>
    <w:sectPr w:rsidR="00605B8C" w:rsidRPr="00605B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Handwriting">
    <w:panose1 w:val="03010101010101010101"/>
    <w:charset w:val="00"/>
    <w:family w:val="script"/>
    <w:pitch w:val="variable"/>
    <w:sig w:usb0="00000003" w:usb1="00000000" w:usb2="00000000" w:usb3="00000000" w:csb0="00000001" w:csb1="00000000"/>
  </w:font>
  <w:font w:name="Freestyle Script">
    <w:panose1 w:val="030804020302050B04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0537DA"/>
    <w:multiLevelType w:val="hybridMultilevel"/>
    <w:tmpl w:val="750EF432"/>
    <w:lvl w:ilvl="0" w:tplc="8F7CF04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75C71250"/>
    <w:multiLevelType w:val="hybridMultilevel"/>
    <w:tmpl w:val="8EDE480A"/>
    <w:lvl w:ilvl="0" w:tplc="40BCFA72">
      <w:start w:val="404"/>
      <w:numFmt w:val="bullet"/>
      <w:lvlText w:val="-"/>
      <w:lvlJc w:val="left"/>
      <w:pPr>
        <w:ind w:left="1140" w:hanging="360"/>
      </w:pPr>
      <w:rPr>
        <w:rFonts w:ascii="Calibri" w:eastAsiaTheme="minorHAnsi" w:hAnsi="Calibri" w:cs="Calibri"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1627"/>
    <w:rsid w:val="000A6340"/>
    <w:rsid w:val="001219D5"/>
    <w:rsid w:val="001E1D28"/>
    <w:rsid w:val="00342A73"/>
    <w:rsid w:val="00515806"/>
    <w:rsid w:val="00605B8C"/>
    <w:rsid w:val="006240B3"/>
    <w:rsid w:val="006E7811"/>
    <w:rsid w:val="006E7F48"/>
    <w:rsid w:val="00765BEE"/>
    <w:rsid w:val="007A2588"/>
    <w:rsid w:val="007B46DC"/>
    <w:rsid w:val="007E1896"/>
    <w:rsid w:val="00801627"/>
    <w:rsid w:val="00862F2B"/>
    <w:rsid w:val="00883664"/>
    <w:rsid w:val="0094416C"/>
    <w:rsid w:val="00982AFA"/>
    <w:rsid w:val="00AE156C"/>
    <w:rsid w:val="00B43F90"/>
    <w:rsid w:val="00B74543"/>
    <w:rsid w:val="00BC421C"/>
    <w:rsid w:val="00BE5ED8"/>
    <w:rsid w:val="00D037B4"/>
    <w:rsid w:val="00EB3D25"/>
    <w:rsid w:val="00EF0A7C"/>
    <w:rsid w:val="00F33ABC"/>
    <w:rsid w:val="00F86D10"/>
    <w:rsid w:val="00F94D82"/>
    <w:rsid w:val="00FC53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864DA5-A90B-4449-8E68-86A3FA371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5B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F50310BBF5224B812617D6905831B6" ma:contentTypeVersion="13" ma:contentTypeDescription="Create a new document." ma:contentTypeScope="" ma:versionID="e967077d7285c469fd311b4af8bb1626">
  <xsd:schema xmlns:xsd="http://www.w3.org/2001/XMLSchema" xmlns:xs="http://www.w3.org/2001/XMLSchema" xmlns:p="http://schemas.microsoft.com/office/2006/metadata/properties" xmlns:ns2="ad90a7ee-52c3-4c2d-834f-c675eac1e245" xmlns:ns3="9ed90d7b-1eb9-42f9-8a9b-e33d08bd05cb" targetNamespace="http://schemas.microsoft.com/office/2006/metadata/properties" ma:root="true" ma:fieldsID="c7c477baaaafdef0a8a2b2d641b8a408" ns2:_="" ns3:_="">
    <xsd:import namespace="ad90a7ee-52c3-4c2d-834f-c675eac1e245"/>
    <xsd:import namespace="9ed90d7b-1eb9-42f9-8a9b-e33d08bd05c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MediaServiceBillingMetadata"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90a7ee-52c3-4c2d-834f-c675eac1e2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MediaServiceBillingMetadata" ma:index="16" nillable="true" ma:displayName="MediaServiceBillingMetadata" ma:hidden="true" ma:internalName="MediaServiceBillingMetadata" ma:readOnly="true">
      <xsd:simpleType>
        <xsd:restriction base="dms:Note"/>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50e09bd5-fdc9-461b-b522-e61327778585"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ed90d7b-1eb9-42f9-8a9b-e33d08bd05cb"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339f978b-3a59-44da-8165-18d9e0784523}" ma:internalName="TaxCatchAll" ma:showField="CatchAllData" ma:web="9ed90d7b-1eb9-42f9-8a9b-e33d08bd05c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d90a7ee-52c3-4c2d-834f-c675eac1e245">
      <Terms xmlns="http://schemas.microsoft.com/office/infopath/2007/PartnerControls"/>
    </lcf76f155ced4ddcb4097134ff3c332f>
    <TaxCatchAll xmlns="9ed90d7b-1eb9-42f9-8a9b-e33d08bd05cb" xsi:nil="true"/>
  </documentManagement>
</p:properties>
</file>

<file path=customXml/itemProps1.xml><?xml version="1.0" encoding="utf-8"?>
<ds:datastoreItem xmlns:ds="http://schemas.openxmlformats.org/officeDocument/2006/customXml" ds:itemID="{EBA07888-880E-4334-A425-34254104EA02}"/>
</file>

<file path=customXml/itemProps2.xml><?xml version="1.0" encoding="utf-8"?>
<ds:datastoreItem xmlns:ds="http://schemas.openxmlformats.org/officeDocument/2006/customXml" ds:itemID="{B86D3089-0986-4F46-B837-6594BDD44194}"/>
</file>

<file path=customXml/itemProps3.xml><?xml version="1.0" encoding="utf-8"?>
<ds:datastoreItem xmlns:ds="http://schemas.openxmlformats.org/officeDocument/2006/customXml" ds:itemID="{F7434661-86C9-4A54-98FF-777AEBADCF7D}"/>
</file>

<file path=docProps/app.xml><?xml version="1.0" encoding="utf-8"?>
<Properties xmlns="http://schemas.openxmlformats.org/officeDocument/2006/extended-properties" xmlns:vt="http://schemas.openxmlformats.org/officeDocument/2006/docPropsVTypes">
  <Template>Normal</Template>
  <TotalTime>17429</TotalTime>
  <Pages>6</Pages>
  <Words>1782</Words>
  <Characters>10158</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2</cp:revision>
  <dcterms:created xsi:type="dcterms:W3CDTF">2025-09-11T23:34:00Z</dcterms:created>
  <dcterms:modified xsi:type="dcterms:W3CDTF">2025-11-14T19:43:00Z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0x010100C3F50310BBF5224B812617D6905831B6</vt:lpwstr>
  </property>
</Properties>
</file>