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C5951" w14:textId="7D251919" w:rsidR="00BA31D4" w:rsidRPr="002B2A0A" w:rsidRDefault="005F257A" w:rsidP="001A5D28">
      <w:pPr>
        <w:ind w:left="720"/>
        <w:rPr>
          <w:rFonts w:ascii="Arial" w:hAnsi="Arial" w:cs="Arial"/>
          <w:b/>
          <w:bCs/>
        </w:rPr>
      </w:pPr>
      <w:r>
        <w:rPr>
          <w:rFonts w:ascii="Arial" w:hAnsi="Arial" w:cs="Arial"/>
          <w:b/>
          <w:bCs/>
        </w:rPr>
        <w:t>MONUMENT RIDGE EAST</w:t>
      </w:r>
      <w:r w:rsidR="00E2215B" w:rsidRPr="002B2A0A">
        <w:rPr>
          <w:rFonts w:ascii="Arial" w:hAnsi="Arial" w:cs="Arial"/>
          <w:b/>
          <w:bCs/>
        </w:rPr>
        <w:t xml:space="preserve"> – </w:t>
      </w:r>
      <w:r w:rsidR="00D41390">
        <w:rPr>
          <w:rFonts w:ascii="Arial" w:hAnsi="Arial" w:cs="Arial"/>
          <w:b/>
          <w:bCs/>
        </w:rPr>
        <w:t>FDR</w:t>
      </w:r>
      <w:r w:rsidR="00E2215B" w:rsidRPr="002B2A0A">
        <w:rPr>
          <w:rFonts w:ascii="Arial" w:hAnsi="Arial" w:cs="Arial"/>
          <w:b/>
          <w:bCs/>
        </w:rPr>
        <w:t xml:space="preserve"> COMMENT RESPONSES</w:t>
      </w:r>
    </w:p>
    <w:p w14:paraId="13F607D9" w14:textId="43E65FFD" w:rsidR="00DC789B" w:rsidRPr="00D41390" w:rsidRDefault="005F257A" w:rsidP="001A5D28">
      <w:pPr>
        <w:ind w:left="720"/>
        <w:rPr>
          <w:rFonts w:ascii="Arial" w:hAnsi="Arial" w:cs="Arial"/>
          <w:b/>
          <w:bCs/>
        </w:rPr>
      </w:pPr>
      <w:r>
        <w:rPr>
          <w:rFonts w:ascii="Arial" w:hAnsi="Arial" w:cs="Arial"/>
          <w:b/>
          <w:bCs/>
        </w:rPr>
        <w:t>June 24</w:t>
      </w:r>
      <w:r w:rsidR="00DB5094">
        <w:rPr>
          <w:rFonts w:ascii="Arial" w:hAnsi="Arial" w:cs="Arial"/>
          <w:b/>
          <w:bCs/>
        </w:rPr>
        <w:t>, 2025</w:t>
      </w:r>
    </w:p>
    <w:p w14:paraId="230D78D8" w14:textId="49C861B7" w:rsidR="00351577" w:rsidRDefault="009D1D92" w:rsidP="005F257A">
      <w:pPr>
        <w:ind w:left="720"/>
        <w:rPr>
          <w:rFonts w:ascii="Arial" w:hAnsi="Arial" w:cs="Arial"/>
        </w:rPr>
      </w:pPr>
      <w:r w:rsidRPr="002B2A0A">
        <w:rPr>
          <w:rFonts w:ascii="Arial" w:hAnsi="Arial" w:cs="Arial"/>
        </w:rPr>
        <w:t xml:space="preserve">Reference numbers correspond with </w:t>
      </w:r>
      <w:r w:rsidR="005F257A">
        <w:rPr>
          <w:rFonts w:ascii="Arial" w:hAnsi="Arial" w:cs="Arial"/>
        </w:rPr>
        <w:t>County “page label”</w:t>
      </w:r>
      <w:r w:rsidRPr="002B2A0A">
        <w:rPr>
          <w:rFonts w:ascii="Arial" w:hAnsi="Arial" w:cs="Arial"/>
        </w:rPr>
        <w:t xml:space="preserve"> comments</w:t>
      </w:r>
      <w:r w:rsidR="005F257A">
        <w:rPr>
          <w:rFonts w:ascii="Arial" w:hAnsi="Arial" w:cs="Arial"/>
        </w:rPr>
        <w:t>:</w:t>
      </w:r>
    </w:p>
    <w:p w14:paraId="1CF3EC34" w14:textId="77777777" w:rsidR="00CA7508" w:rsidRDefault="00CA7508" w:rsidP="005F257A">
      <w:pPr>
        <w:ind w:left="720"/>
        <w:rPr>
          <w:rFonts w:ascii="Arial" w:hAnsi="Arial" w:cs="Arial"/>
          <w:b/>
          <w:bCs/>
        </w:rPr>
      </w:pPr>
    </w:p>
    <w:p w14:paraId="6E3E33AA" w14:textId="5DBE21A9" w:rsidR="00CA7508" w:rsidRPr="00CA7508" w:rsidRDefault="00CA7508" w:rsidP="005F257A">
      <w:pPr>
        <w:ind w:left="720"/>
        <w:rPr>
          <w:rFonts w:ascii="Arial" w:hAnsi="Arial" w:cs="Arial"/>
          <w:b/>
          <w:bCs/>
        </w:rPr>
      </w:pPr>
      <w:r w:rsidRPr="00CA7508">
        <w:rPr>
          <w:rFonts w:ascii="Arial" w:hAnsi="Arial" w:cs="Arial"/>
          <w:b/>
          <w:bCs/>
        </w:rPr>
        <w:t>SF-24-15</w:t>
      </w:r>
    </w:p>
    <w:p w14:paraId="0A739A7A" w14:textId="6A041586" w:rsidR="005F257A" w:rsidRPr="005F257A" w:rsidRDefault="005F257A" w:rsidP="005F257A">
      <w:pPr>
        <w:pStyle w:val="ListParagraph"/>
        <w:numPr>
          <w:ilvl w:val="0"/>
          <w:numId w:val="19"/>
        </w:numPr>
        <w:rPr>
          <w:rFonts w:ascii="Arial" w:hAnsi="Arial" w:cs="Arial"/>
        </w:rPr>
      </w:pPr>
      <w:r w:rsidRPr="005F257A">
        <w:rPr>
          <w:rFonts w:ascii="Arial" w:hAnsi="Arial" w:cs="Arial"/>
        </w:rPr>
        <w:t>S</w:t>
      </w:r>
      <w:r w:rsidR="00CA7508">
        <w:rPr>
          <w:rFonts w:ascii="Arial" w:hAnsi="Arial" w:cs="Arial"/>
        </w:rPr>
        <w:t>F</w:t>
      </w:r>
      <w:r w:rsidRPr="005F257A">
        <w:rPr>
          <w:rFonts w:ascii="Arial" w:hAnsi="Arial" w:cs="Arial"/>
        </w:rPr>
        <w:t>-24-15 has been added to the cover sheet</w:t>
      </w:r>
    </w:p>
    <w:p w14:paraId="3FEF143E" w14:textId="40FA914B" w:rsidR="005F257A" w:rsidRDefault="005F257A" w:rsidP="005F257A">
      <w:pPr>
        <w:ind w:left="720"/>
        <w:rPr>
          <w:rFonts w:ascii="Arial" w:hAnsi="Arial" w:cs="Arial"/>
        </w:rPr>
      </w:pPr>
      <w:r>
        <w:rPr>
          <w:rFonts w:ascii="Arial" w:hAnsi="Arial" w:cs="Arial"/>
        </w:rPr>
        <w:t>6. The developed basin narrative now includes more detailed information.</w:t>
      </w:r>
    </w:p>
    <w:p w14:paraId="38C0DD9F" w14:textId="40431500" w:rsidR="005F257A" w:rsidRDefault="005F257A" w:rsidP="005F257A">
      <w:pPr>
        <w:ind w:left="720"/>
        <w:rPr>
          <w:rFonts w:ascii="Arial" w:hAnsi="Arial" w:cs="Arial"/>
        </w:rPr>
      </w:pPr>
      <w:r>
        <w:rPr>
          <w:rFonts w:ascii="Arial" w:hAnsi="Arial" w:cs="Arial"/>
        </w:rPr>
        <w:t>6. The sump location statement has been removed.</w:t>
      </w:r>
    </w:p>
    <w:p w14:paraId="7320A4B0" w14:textId="77777777" w:rsidR="005F257A" w:rsidRDefault="005F257A" w:rsidP="005F257A">
      <w:pPr>
        <w:ind w:left="720"/>
        <w:rPr>
          <w:rFonts w:ascii="Arial" w:hAnsi="Arial" w:cs="Arial"/>
        </w:rPr>
      </w:pPr>
      <w:r>
        <w:rPr>
          <w:rFonts w:ascii="Arial" w:hAnsi="Arial" w:cs="Arial"/>
        </w:rPr>
        <w:t>7. All elements of the pond have now been designed with information found in the narrative and appendices.</w:t>
      </w:r>
    </w:p>
    <w:p w14:paraId="03B5A6AB" w14:textId="77777777" w:rsidR="005F257A" w:rsidRDefault="005F257A" w:rsidP="005F257A">
      <w:pPr>
        <w:ind w:left="720"/>
        <w:rPr>
          <w:rFonts w:ascii="Arial" w:hAnsi="Arial" w:cs="Arial"/>
        </w:rPr>
      </w:pPr>
      <w:r>
        <w:rPr>
          <w:rFonts w:ascii="Arial" w:hAnsi="Arial" w:cs="Arial"/>
        </w:rPr>
        <w:t>13. Infiltration practices have now been discussed.</w:t>
      </w:r>
    </w:p>
    <w:p w14:paraId="7E0F1234" w14:textId="675AC87E" w:rsidR="005F257A" w:rsidRDefault="005F257A" w:rsidP="005F257A">
      <w:pPr>
        <w:ind w:left="720"/>
        <w:rPr>
          <w:rFonts w:ascii="Arial" w:hAnsi="Arial" w:cs="Arial"/>
        </w:rPr>
      </w:pPr>
      <w:r>
        <w:rPr>
          <w:rFonts w:ascii="Arial" w:hAnsi="Arial" w:cs="Arial"/>
        </w:rPr>
        <w:t>14. Full detailed pond designs (interim and future) are now provided.</w:t>
      </w:r>
    </w:p>
    <w:p w14:paraId="0FBB2B71" w14:textId="60D74230" w:rsidR="005F257A" w:rsidRDefault="005F257A" w:rsidP="005F257A">
      <w:pPr>
        <w:ind w:left="720"/>
        <w:rPr>
          <w:rFonts w:ascii="Arial" w:hAnsi="Arial" w:cs="Arial"/>
        </w:rPr>
      </w:pPr>
      <w:r>
        <w:rPr>
          <w:rFonts w:ascii="Arial" w:hAnsi="Arial" w:cs="Arial"/>
        </w:rPr>
        <w:t xml:space="preserve">15. </w:t>
      </w:r>
      <w:r w:rsidR="00F3696F">
        <w:rPr>
          <w:rFonts w:ascii="Arial" w:hAnsi="Arial" w:cs="Arial"/>
        </w:rPr>
        <w:t xml:space="preserve">The storm design is now included in the report.  </w:t>
      </w:r>
    </w:p>
    <w:p w14:paraId="216D1C0C" w14:textId="6F678FB9" w:rsidR="00F3696F" w:rsidRDefault="00F3696F" w:rsidP="005F257A">
      <w:pPr>
        <w:ind w:left="720"/>
        <w:rPr>
          <w:rFonts w:ascii="Arial" w:hAnsi="Arial" w:cs="Arial"/>
        </w:rPr>
      </w:pPr>
      <w:r>
        <w:rPr>
          <w:rFonts w:ascii="Arial" w:hAnsi="Arial" w:cs="Arial"/>
        </w:rPr>
        <w:t>15. The Bald Mountain fees have now been included.</w:t>
      </w:r>
    </w:p>
    <w:p w14:paraId="2018DABF" w14:textId="682A72F2" w:rsidR="00F3696F" w:rsidRDefault="00F3696F" w:rsidP="005F257A">
      <w:pPr>
        <w:ind w:left="720"/>
        <w:rPr>
          <w:rFonts w:ascii="Arial" w:hAnsi="Arial" w:cs="Arial"/>
        </w:rPr>
      </w:pPr>
      <w:r>
        <w:rPr>
          <w:rFonts w:ascii="Arial" w:hAnsi="Arial" w:cs="Arial"/>
        </w:rPr>
        <w:t xml:space="preserve">16. A discussion about the outfall is included in the interim conditions narrative and a quantitative analysis has been provided.  </w:t>
      </w:r>
    </w:p>
    <w:p w14:paraId="0674FE9C" w14:textId="711CAD54" w:rsidR="00F3696F" w:rsidRDefault="00F3696F" w:rsidP="005F257A">
      <w:pPr>
        <w:ind w:left="720"/>
        <w:rPr>
          <w:rFonts w:ascii="Arial" w:hAnsi="Arial" w:cs="Arial"/>
        </w:rPr>
      </w:pPr>
      <w:r>
        <w:rPr>
          <w:rFonts w:ascii="Arial" w:hAnsi="Arial" w:cs="Arial"/>
        </w:rPr>
        <w:t>16. A cost estimate will be provided in the next submittal utilizing the EPC financial assurance form.  Please confirm this is the preferred unit items and cost data.</w:t>
      </w:r>
    </w:p>
    <w:p w14:paraId="4EAF8F1C" w14:textId="7585C912" w:rsidR="00F3696F" w:rsidRDefault="008173FC" w:rsidP="005F257A">
      <w:pPr>
        <w:ind w:left="720"/>
        <w:rPr>
          <w:rFonts w:ascii="Arial" w:hAnsi="Arial" w:cs="Arial"/>
        </w:rPr>
      </w:pPr>
      <w:r>
        <w:rPr>
          <w:rFonts w:ascii="Arial" w:hAnsi="Arial" w:cs="Arial"/>
        </w:rPr>
        <w:t xml:space="preserve">48. As stated in the report, the existing conditions analysis remains unchanged from the MDDP.  Instead of duplicating the information, a reference is made to that information.  </w:t>
      </w:r>
    </w:p>
    <w:p w14:paraId="507D46B2" w14:textId="319E930A" w:rsidR="008173FC" w:rsidRDefault="008173FC" w:rsidP="005F257A">
      <w:pPr>
        <w:ind w:left="720"/>
        <w:rPr>
          <w:rFonts w:ascii="Arial" w:hAnsi="Arial" w:cs="Arial"/>
        </w:rPr>
      </w:pPr>
      <w:r>
        <w:rPr>
          <w:rFonts w:ascii="Arial" w:hAnsi="Arial" w:cs="Arial"/>
        </w:rPr>
        <w:t xml:space="preserve">49. All spreadsheets have been labeled </w:t>
      </w:r>
      <w:r w:rsidR="001E1139">
        <w:rPr>
          <w:rFonts w:ascii="Arial" w:hAnsi="Arial" w:cs="Arial"/>
        </w:rPr>
        <w:t>accordingly</w:t>
      </w:r>
      <w:r>
        <w:rPr>
          <w:rFonts w:ascii="Arial" w:hAnsi="Arial" w:cs="Arial"/>
        </w:rPr>
        <w:t>.</w:t>
      </w:r>
    </w:p>
    <w:p w14:paraId="79E17844" w14:textId="17E58C78" w:rsidR="008173FC" w:rsidRDefault="008173FC" w:rsidP="005F257A">
      <w:pPr>
        <w:ind w:left="720"/>
        <w:rPr>
          <w:rFonts w:ascii="Arial" w:hAnsi="Arial" w:cs="Arial"/>
        </w:rPr>
      </w:pPr>
      <w:r>
        <w:rPr>
          <w:rFonts w:ascii="Arial" w:hAnsi="Arial" w:cs="Arial"/>
        </w:rPr>
        <w:t>55. Basin MO6 information is now included.</w:t>
      </w:r>
    </w:p>
    <w:p w14:paraId="75B419A8" w14:textId="77777777" w:rsidR="001E1139" w:rsidRDefault="008173FC" w:rsidP="001E1139">
      <w:pPr>
        <w:ind w:left="720"/>
        <w:rPr>
          <w:rFonts w:ascii="Arial" w:hAnsi="Arial" w:cs="Arial"/>
        </w:rPr>
      </w:pPr>
      <w:r>
        <w:rPr>
          <w:rFonts w:ascii="Arial" w:hAnsi="Arial" w:cs="Arial"/>
        </w:rPr>
        <w:t xml:space="preserve">56. The design points listing now </w:t>
      </w:r>
      <w:r w:rsidR="001E1139">
        <w:rPr>
          <w:rFonts w:ascii="Arial" w:hAnsi="Arial" w:cs="Arial"/>
        </w:rPr>
        <w:t>refers</w:t>
      </w:r>
      <w:r>
        <w:rPr>
          <w:rFonts w:ascii="Arial" w:hAnsi="Arial" w:cs="Arial"/>
        </w:rPr>
        <w:t xml:space="preserve"> to the “contributing basins” in the column to the right. A combination of both (prior submittal) was revised to reduce confusion and make review easier.  </w:t>
      </w:r>
    </w:p>
    <w:p w14:paraId="0A783110" w14:textId="77777777" w:rsidR="001E1139" w:rsidRDefault="001E1139" w:rsidP="001E1139">
      <w:pPr>
        <w:ind w:left="720"/>
        <w:rPr>
          <w:rFonts w:ascii="Arial" w:hAnsi="Arial" w:cs="Arial"/>
        </w:rPr>
      </w:pPr>
      <w:r>
        <w:rPr>
          <w:rFonts w:ascii="Arial" w:hAnsi="Arial" w:cs="Arial"/>
        </w:rPr>
        <w:t xml:space="preserve">56. </w:t>
      </w:r>
      <w:r w:rsidR="008173FC">
        <w:rPr>
          <w:rFonts w:ascii="Arial" w:hAnsi="Arial" w:cs="Arial"/>
        </w:rPr>
        <w:t xml:space="preserve">At this point </w:t>
      </w:r>
      <w:r>
        <w:rPr>
          <w:rFonts w:ascii="Arial" w:hAnsi="Arial" w:cs="Arial"/>
        </w:rPr>
        <w:t xml:space="preserve">on such a large project with numerous cross references, </w:t>
      </w:r>
      <w:r w:rsidR="008173FC">
        <w:rPr>
          <w:rFonts w:ascii="Arial" w:hAnsi="Arial" w:cs="Arial"/>
        </w:rPr>
        <w:t xml:space="preserve">creating additional basins would be extremely </w:t>
      </w:r>
      <w:r>
        <w:rPr>
          <w:rFonts w:ascii="Arial" w:hAnsi="Arial" w:cs="Arial"/>
        </w:rPr>
        <w:t xml:space="preserve">time-consuming and may cause errors.  </w:t>
      </w:r>
    </w:p>
    <w:p w14:paraId="1B8DCA3D" w14:textId="2D300D80" w:rsidR="001E1139" w:rsidRDefault="001E1139" w:rsidP="001E1139">
      <w:pPr>
        <w:ind w:left="720"/>
        <w:rPr>
          <w:rFonts w:ascii="Arial" w:hAnsi="Arial" w:cs="Arial"/>
        </w:rPr>
      </w:pPr>
      <w:r>
        <w:rPr>
          <w:rFonts w:ascii="Arial" w:hAnsi="Arial" w:cs="Arial"/>
        </w:rPr>
        <w:t xml:space="preserve">56. Pond facilities have design points as needed. The forebay calculations are clear as to what location each inflow point is, if that is the concern. </w:t>
      </w:r>
    </w:p>
    <w:p w14:paraId="41DC3E70" w14:textId="24CB0529" w:rsidR="001E1139" w:rsidRDefault="001E1139" w:rsidP="001E1139">
      <w:pPr>
        <w:ind w:left="720"/>
        <w:rPr>
          <w:rFonts w:ascii="Arial" w:hAnsi="Arial" w:cs="Arial"/>
        </w:rPr>
      </w:pPr>
      <w:r>
        <w:rPr>
          <w:rFonts w:ascii="Arial" w:hAnsi="Arial" w:cs="Arial"/>
        </w:rPr>
        <w:t>57. Design point F22 is being used as an important reference point in the narrative.</w:t>
      </w:r>
    </w:p>
    <w:p w14:paraId="2E25A4D9" w14:textId="77777777" w:rsidR="001E1139" w:rsidRDefault="001E1139" w:rsidP="001E1139">
      <w:pPr>
        <w:ind w:left="720"/>
        <w:rPr>
          <w:rFonts w:ascii="Arial" w:hAnsi="Arial" w:cs="Arial"/>
        </w:rPr>
      </w:pPr>
      <w:r>
        <w:rPr>
          <w:rFonts w:ascii="Arial" w:hAnsi="Arial" w:cs="Arial"/>
        </w:rPr>
        <w:t>57. All routing information is now included for all basins.</w:t>
      </w:r>
    </w:p>
    <w:p w14:paraId="3E6ECF6F" w14:textId="5F7B9FCE" w:rsidR="001E1139" w:rsidRDefault="001E1139" w:rsidP="001E1139">
      <w:pPr>
        <w:ind w:left="720"/>
        <w:rPr>
          <w:rFonts w:ascii="Arial" w:hAnsi="Arial" w:cs="Arial"/>
        </w:rPr>
      </w:pPr>
      <w:r>
        <w:rPr>
          <w:rFonts w:ascii="Arial" w:hAnsi="Arial" w:cs="Arial"/>
        </w:rPr>
        <w:t xml:space="preserve">58. All storm sewer pipes, culverts, swales, riprap energy dissipation and inlets now have the associated design information in the report. </w:t>
      </w:r>
    </w:p>
    <w:p w14:paraId="552D291F" w14:textId="7C6FCBD5" w:rsidR="001E1139" w:rsidRDefault="001E1139" w:rsidP="001E1139">
      <w:pPr>
        <w:ind w:left="720"/>
        <w:rPr>
          <w:rFonts w:ascii="Arial" w:hAnsi="Arial" w:cs="Arial"/>
        </w:rPr>
      </w:pPr>
      <w:r>
        <w:rPr>
          <w:rFonts w:ascii="Arial" w:hAnsi="Arial" w:cs="Arial"/>
        </w:rPr>
        <w:t xml:space="preserve">59.  The Filing no. 1 term being used is “interim” while subsequent development is referred to as “future”.  Using the terms proposed or developed can cause additional confusion.  </w:t>
      </w:r>
    </w:p>
    <w:p w14:paraId="54FC55D3" w14:textId="11507151" w:rsidR="001E1139" w:rsidRDefault="001E1139" w:rsidP="001E1139">
      <w:pPr>
        <w:ind w:left="720"/>
        <w:rPr>
          <w:rFonts w:ascii="Arial" w:hAnsi="Arial" w:cs="Arial"/>
        </w:rPr>
      </w:pPr>
      <w:r>
        <w:rPr>
          <w:rFonts w:ascii="Arial" w:hAnsi="Arial" w:cs="Arial"/>
        </w:rPr>
        <w:t>59. A smaller stage increment is now used.</w:t>
      </w:r>
    </w:p>
    <w:p w14:paraId="7012C99E" w14:textId="6547940F" w:rsidR="001E1139" w:rsidRDefault="001E1139" w:rsidP="001E1139">
      <w:pPr>
        <w:ind w:left="720"/>
        <w:rPr>
          <w:rFonts w:ascii="Arial" w:hAnsi="Arial" w:cs="Arial"/>
        </w:rPr>
      </w:pPr>
      <w:r>
        <w:rPr>
          <w:rFonts w:ascii="Arial" w:hAnsi="Arial" w:cs="Arial"/>
        </w:rPr>
        <w:lastRenderedPageBreak/>
        <w:t xml:space="preserve">60. </w:t>
      </w:r>
      <w:r w:rsidR="0082153D">
        <w:rPr>
          <w:rFonts w:ascii="Arial" w:hAnsi="Arial" w:cs="Arial"/>
        </w:rPr>
        <w:t>Calculations are now provided for all the pond design elements.</w:t>
      </w:r>
    </w:p>
    <w:p w14:paraId="7C4D31AA" w14:textId="6D2830C2" w:rsidR="0082153D" w:rsidRDefault="0082153D" w:rsidP="001E1139">
      <w:pPr>
        <w:ind w:left="720"/>
        <w:rPr>
          <w:rFonts w:ascii="Arial" w:hAnsi="Arial" w:cs="Arial"/>
        </w:rPr>
      </w:pPr>
      <w:r>
        <w:rPr>
          <w:rFonts w:ascii="Arial" w:hAnsi="Arial" w:cs="Arial"/>
        </w:rPr>
        <w:t xml:space="preserve">61. The EURV time cannot be exactly 72 hours using the MHFD spreadsheet.  It can however be very close, as was our goal.  We understand that there is a range of 65hrs to 72hrs EPC accepts from a practical standpoint.  </w:t>
      </w:r>
    </w:p>
    <w:p w14:paraId="6804FFC9" w14:textId="38B4B411" w:rsidR="0082153D" w:rsidRDefault="0082153D" w:rsidP="001E1139">
      <w:pPr>
        <w:ind w:left="720"/>
        <w:rPr>
          <w:rFonts w:ascii="Arial" w:hAnsi="Arial" w:cs="Arial"/>
        </w:rPr>
      </w:pPr>
      <w:r>
        <w:rPr>
          <w:rFonts w:ascii="Arial" w:hAnsi="Arial" w:cs="Arial"/>
        </w:rPr>
        <w:t>65. (see response to 61).</w:t>
      </w:r>
    </w:p>
    <w:p w14:paraId="7249FBBC" w14:textId="4D91A564" w:rsidR="0082153D" w:rsidRDefault="0082153D" w:rsidP="001E1139">
      <w:pPr>
        <w:ind w:left="720"/>
        <w:rPr>
          <w:rFonts w:ascii="Arial" w:hAnsi="Arial" w:cs="Arial"/>
        </w:rPr>
      </w:pPr>
      <w:r>
        <w:rPr>
          <w:rFonts w:ascii="Arial" w:hAnsi="Arial" w:cs="Arial"/>
        </w:rPr>
        <w:t>68. (see response to 61).</w:t>
      </w:r>
    </w:p>
    <w:p w14:paraId="7F6B65E6" w14:textId="77777777" w:rsidR="009A0E99" w:rsidRDefault="0082153D" w:rsidP="001E1139">
      <w:pPr>
        <w:ind w:left="720"/>
        <w:rPr>
          <w:rFonts w:ascii="Arial" w:hAnsi="Arial" w:cs="Arial"/>
        </w:rPr>
      </w:pPr>
      <w:r>
        <w:rPr>
          <w:rFonts w:ascii="Arial" w:hAnsi="Arial" w:cs="Arial"/>
        </w:rPr>
        <w:t xml:space="preserve">74. Contour labels are now included.  Existing structures that remain are analyzed in the report with the exception of a couple of extremely obvious cases (e.g. - there is a 36” storm pipe conveying less 10cfs.).  Property owner labels are now included but are very small to be able to fit the information on the plan at that scale.  The site has numerous easements which cannot be clearly shown and labeled.  Please refer to the construction documents and </w:t>
      </w:r>
      <w:r w:rsidR="009A0E99">
        <w:rPr>
          <w:rFonts w:ascii="Arial" w:hAnsi="Arial" w:cs="Arial"/>
        </w:rPr>
        <w:t xml:space="preserve">plat of survey for a better place to find that information.  </w:t>
      </w:r>
    </w:p>
    <w:p w14:paraId="7E02F7B4" w14:textId="77777777" w:rsidR="009A0E99" w:rsidRDefault="009A0E99" w:rsidP="001E1139">
      <w:pPr>
        <w:ind w:left="720"/>
        <w:rPr>
          <w:rFonts w:ascii="Arial" w:hAnsi="Arial" w:cs="Arial"/>
        </w:rPr>
      </w:pPr>
      <w:r>
        <w:rPr>
          <w:rFonts w:ascii="Arial" w:hAnsi="Arial" w:cs="Arial"/>
        </w:rPr>
        <w:t xml:space="preserve">75. The map is missing the basins listed because at this scale, they cannot be delineated.  This map is intended to show the larger off-site basins with the smaller ones shown if they can be readily identified. </w:t>
      </w:r>
    </w:p>
    <w:p w14:paraId="69A84A53" w14:textId="67C950B0" w:rsidR="0082153D" w:rsidRDefault="009A0E99" w:rsidP="001E1139">
      <w:pPr>
        <w:ind w:left="720"/>
        <w:rPr>
          <w:rFonts w:ascii="Arial" w:hAnsi="Arial" w:cs="Arial"/>
        </w:rPr>
      </w:pPr>
      <w:r>
        <w:rPr>
          <w:rFonts w:ascii="Arial" w:hAnsi="Arial" w:cs="Arial"/>
        </w:rPr>
        <w:t xml:space="preserve">75. The basin area and design point reference has been removed from the legend.  </w:t>
      </w:r>
    </w:p>
    <w:p w14:paraId="1D94C8B1" w14:textId="055D9559" w:rsidR="009A0E99" w:rsidRDefault="009A0E99" w:rsidP="001E1139">
      <w:pPr>
        <w:ind w:left="720"/>
        <w:rPr>
          <w:rFonts w:ascii="Arial" w:hAnsi="Arial" w:cs="Arial"/>
        </w:rPr>
      </w:pPr>
      <w:r>
        <w:rPr>
          <w:rFonts w:ascii="Arial" w:hAnsi="Arial" w:cs="Arial"/>
        </w:rPr>
        <w:t>75. The items listed for inclusion on this map sheet are not appropriate because of the scale of the drawing.  As stated prior, this sheet is to show and reference the off-site basin locations.  The reader primarily focuses on the on-site maps which have the information requested.</w:t>
      </w:r>
    </w:p>
    <w:p w14:paraId="630AA75F" w14:textId="7EA93DA7" w:rsidR="009A0E99" w:rsidRDefault="009A0E99" w:rsidP="001E1139">
      <w:pPr>
        <w:ind w:left="720"/>
        <w:rPr>
          <w:rFonts w:ascii="Arial" w:hAnsi="Arial" w:cs="Arial"/>
        </w:rPr>
      </w:pPr>
      <w:r>
        <w:rPr>
          <w:rFonts w:ascii="Arial" w:hAnsi="Arial" w:cs="Arial"/>
        </w:rPr>
        <w:t xml:space="preserve">76.  Refer to revised maps for additional information provided as well as additional sheets which show the “future” conditions.  These correlate with the </w:t>
      </w:r>
      <w:r w:rsidR="00CA7508">
        <w:rPr>
          <w:rFonts w:ascii="Arial" w:hAnsi="Arial" w:cs="Arial"/>
        </w:rPr>
        <w:t>calculations</w:t>
      </w:r>
      <w:r>
        <w:rPr>
          <w:rFonts w:ascii="Arial" w:hAnsi="Arial" w:cs="Arial"/>
        </w:rPr>
        <w:t xml:space="preserve"> and </w:t>
      </w:r>
      <w:r w:rsidR="00CA7508">
        <w:rPr>
          <w:rFonts w:ascii="Arial" w:hAnsi="Arial" w:cs="Arial"/>
        </w:rPr>
        <w:t>narrative</w:t>
      </w:r>
      <w:r>
        <w:rPr>
          <w:rFonts w:ascii="Arial" w:hAnsi="Arial" w:cs="Arial"/>
        </w:rPr>
        <w:t xml:space="preserve">.  Please know these are conceptual in nature as we do not know exactly what the future filing designs will be.  The drawings for the future conditions are not detailed like a normal drainage map is because that would imply a level of accuracy that cannot be </w:t>
      </w:r>
      <w:r w:rsidR="00CA7508">
        <w:rPr>
          <w:rFonts w:ascii="Arial" w:hAnsi="Arial" w:cs="Arial"/>
        </w:rPr>
        <w:t>found at this point with so many future filing unknowns.</w:t>
      </w:r>
    </w:p>
    <w:p w14:paraId="61939339" w14:textId="77777777" w:rsidR="00CA7508" w:rsidRDefault="00CA7508" w:rsidP="001E1139">
      <w:pPr>
        <w:ind w:left="720"/>
        <w:rPr>
          <w:rFonts w:ascii="Arial" w:hAnsi="Arial" w:cs="Arial"/>
        </w:rPr>
      </w:pPr>
    </w:p>
    <w:p w14:paraId="5F12C9C7" w14:textId="52B7327A" w:rsidR="00CA7508" w:rsidRPr="00CA7508" w:rsidRDefault="00CA7508" w:rsidP="001E1139">
      <w:pPr>
        <w:ind w:left="720"/>
        <w:rPr>
          <w:rFonts w:ascii="Arial" w:hAnsi="Arial" w:cs="Arial"/>
        </w:rPr>
      </w:pPr>
      <w:r w:rsidRPr="00CA7508">
        <w:rPr>
          <w:rFonts w:ascii="Arial" w:hAnsi="Arial" w:cs="Arial"/>
          <w:b/>
          <w:bCs/>
        </w:rPr>
        <w:t>EGP252</w:t>
      </w:r>
    </w:p>
    <w:p w14:paraId="3BF91DF1" w14:textId="13D0255A" w:rsidR="00CA7508" w:rsidRDefault="00CA7508" w:rsidP="00CA7508">
      <w:pPr>
        <w:pStyle w:val="ListParagraph"/>
        <w:numPr>
          <w:ilvl w:val="0"/>
          <w:numId w:val="20"/>
        </w:numPr>
        <w:rPr>
          <w:rFonts w:ascii="Arial" w:hAnsi="Arial" w:cs="Arial"/>
        </w:rPr>
      </w:pPr>
      <w:r>
        <w:rPr>
          <w:rFonts w:ascii="Arial" w:hAnsi="Arial" w:cs="Arial"/>
        </w:rPr>
        <w:t>The term “Early Grading Plan” has been added to the title as well as the calculations.</w:t>
      </w:r>
    </w:p>
    <w:p w14:paraId="2F2C5BDA" w14:textId="7C52C452" w:rsidR="00CA7508" w:rsidRDefault="00CA7508" w:rsidP="00CA7508">
      <w:pPr>
        <w:pStyle w:val="ListParagraph"/>
        <w:numPr>
          <w:ilvl w:val="0"/>
          <w:numId w:val="21"/>
        </w:numPr>
        <w:rPr>
          <w:rFonts w:ascii="Arial" w:hAnsi="Arial" w:cs="Arial"/>
        </w:rPr>
      </w:pPr>
      <w:r>
        <w:rPr>
          <w:rFonts w:ascii="Arial" w:hAnsi="Arial" w:cs="Arial"/>
        </w:rPr>
        <w:t>This report proves (with some level of uncertainty) the interim condition and future condition have been compared to ensure all infrastructure built now, will be utilized in the future without having to remove and replace anything.  The higher flow values and volumes have been used.</w:t>
      </w:r>
    </w:p>
    <w:p w14:paraId="29A5E271" w14:textId="1C766731" w:rsidR="00CA7508" w:rsidRDefault="00CA7508" w:rsidP="00CA7508">
      <w:pPr>
        <w:pStyle w:val="ListParagraph"/>
        <w:numPr>
          <w:ilvl w:val="0"/>
          <w:numId w:val="22"/>
        </w:numPr>
        <w:rPr>
          <w:rFonts w:ascii="Arial" w:hAnsi="Arial" w:cs="Arial"/>
        </w:rPr>
      </w:pPr>
      <w:r>
        <w:rPr>
          <w:rFonts w:ascii="Arial" w:hAnsi="Arial" w:cs="Arial"/>
        </w:rPr>
        <w:t>EGP252 is now included on the cover page.</w:t>
      </w:r>
    </w:p>
    <w:p w14:paraId="36ED95C1" w14:textId="77777777" w:rsidR="00CA7508" w:rsidRDefault="00CA7508" w:rsidP="00CA7508">
      <w:pPr>
        <w:ind w:left="720"/>
        <w:rPr>
          <w:rFonts w:ascii="Arial" w:hAnsi="Arial" w:cs="Arial"/>
        </w:rPr>
      </w:pPr>
      <w:r>
        <w:rPr>
          <w:rFonts w:ascii="Arial" w:hAnsi="Arial" w:cs="Arial"/>
        </w:rPr>
        <w:t>8. All ponds shown are to be constructed with this first filing.  Only one is not (MDDP pond 3).</w:t>
      </w:r>
    </w:p>
    <w:p w14:paraId="2606A5D1" w14:textId="77777777" w:rsidR="00CA7508" w:rsidRDefault="00CA7508" w:rsidP="00CA7508">
      <w:pPr>
        <w:ind w:left="720"/>
        <w:rPr>
          <w:rFonts w:ascii="Arial" w:hAnsi="Arial" w:cs="Arial"/>
        </w:rPr>
      </w:pPr>
      <w:r>
        <w:rPr>
          <w:rFonts w:ascii="Arial" w:hAnsi="Arial" w:cs="Arial"/>
        </w:rPr>
        <w:t>16. There are no applicable exclusions necessary for this site.</w:t>
      </w:r>
    </w:p>
    <w:p w14:paraId="1E6D5650" w14:textId="5E74273B" w:rsidR="0082153D" w:rsidRDefault="00CA7508" w:rsidP="0031493D">
      <w:pPr>
        <w:ind w:left="720"/>
        <w:rPr>
          <w:rFonts w:ascii="Arial" w:hAnsi="Arial" w:cs="Arial"/>
        </w:rPr>
      </w:pPr>
      <w:r>
        <w:rPr>
          <w:rFonts w:ascii="Arial" w:hAnsi="Arial" w:cs="Arial"/>
        </w:rPr>
        <w:t xml:space="preserve">19. Refer to narrative re: permitting requirements due to shallow groundwater.  Also, there are no temporary sediment basins proposed during the interim conditions period.  It is our understanding they not meet state mandated drain times and volume requirements.   </w:t>
      </w:r>
    </w:p>
    <w:p w14:paraId="225AD2A9" w14:textId="77777777" w:rsidR="001E1139" w:rsidRDefault="001E1139" w:rsidP="001E1139">
      <w:pPr>
        <w:ind w:left="720"/>
        <w:rPr>
          <w:rFonts w:ascii="Arial" w:hAnsi="Arial" w:cs="Arial"/>
        </w:rPr>
      </w:pPr>
    </w:p>
    <w:p w14:paraId="32084BBF" w14:textId="33533E67" w:rsidR="008173FC" w:rsidRDefault="001E1139" w:rsidP="005F257A">
      <w:pPr>
        <w:ind w:left="720"/>
        <w:rPr>
          <w:rFonts w:ascii="Arial" w:hAnsi="Arial" w:cs="Arial"/>
        </w:rPr>
      </w:pPr>
      <w:r>
        <w:rPr>
          <w:rFonts w:ascii="Arial" w:hAnsi="Arial" w:cs="Arial"/>
        </w:rPr>
        <w:t xml:space="preserve">   </w:t>
      </w:r>
    </w:p>
    <w:p w14:paraId="4406E4CF" w14:textId="2217E415" w:rsidR="008173FC" w:rsidRDefault="008173FC" w:rsidP="005F257A">
      <w:pPr>
        <w:ind w:left="720"/>
        <w:rPr>
          <w:rFonts w:ascii="Arial" w:hAnsi="Arial" w:cs="Arial"/>
        </w:rPr>
      </w:pPr>
    </w:p>
    <w:p w14:paraId="454DB810" w14:textId="77777777" w:rsidR="00F3696F" w:rsidRDefault="00F3696F" w:rsidP="005F257A">
      <w:pPr>
        <w:ind w:left="720"/>
        <w:rPr>
          <w:rFonts w:ascii="Arial" w:hAnsi="Arial" w:cs="Arial"/>
        </w:rPr>
      </w:pPr>
    </w:p>
    <w:sectPr w:rsidR="00F3696F" w:rsidSect="00A31594">
      <w:footerReference w:type="default" r:id="rId11"/>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FAC790" w14:textId="77777777" w:rsidR="004D0BD4" w:rsidRDefault="004D0BD4" w:rsidP="001259CA">
      <w:pPr>
        <w:spacing w:after="0" w:line="240" w:lineRule="auto"/>
      </w:pPr>
      <w:r>
        <w:separator/>
      </w:r>
    </w:p>
  </w:endnote>
  <w:endnote w:type="continuationSeparator" w:id="0">
    <w:p w14:paraId="39750D74" w14:textId="77777777" w:rsidR="004D0BD4" w:rsidRDefault="004D0BD4" w:rsidP="00125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5886806"/>
      <w:docPartObj>
        <w:docPartGallery w:val="Page Numbers (Bottom of Page)"/>
        <w:docPartUnique/>
      </w:docPartObj>
    </w:sdtPr>
    <w:sdtEndPr>
      <w:rPr>
        <w:noProof/>
      </w:rPr>
    </w:sdtEndPr>
    <w:sdtContent>
      <w:p w14:paraId="25C8086C" w14:textId="111F57A6" w:rsidR="001259CA" w:rsidRDefault="001259C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E9F971E" w14:textId="77777777" w:rsidR="001259CA" w:rsidRDefault="001259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686B9" w14:textId="77777777" w:rsidR="004D0BD4" w:rsidRDefault="004D0BD4" w:rsidP="001259CA">
      <w:pPr>
        <w:spacing w:after="0" w:line="240" w:lineRule="auto"/>
      </w:pPr>
      <w:r>
        <w:separator/>
      </w:r>
    </w:p>
  </w:footnote>
  <w:footnote w:type="continuationSeparator" w:id="0">
    <w:p w14:paraId="1E613296" w14:textId="77777777" w:rsidR="004D0BD4" w:rsidRDefault="004D0BD4" w:rsidP="001259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510C"/>
    <w:multiLevelType w:val="hybridMultilevel"/>
    <w:tmpl w:val="70BE959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3960D2"/>
    <w:multiLevelType w:val="hybridMultilevel"/>
    <w:tmpl w:val="5F9EAB0A"/>
    <w:lvl w:ilvl="0" w:tplc="55003E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E121DA"/>
    <w:multiLevelType w:val="hybridMultilevel"/>
    <w:tmpl w:val="A56CCF5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CE557DA"/>
    <w:multiLevelType w:val="hybridMultilevel"/>
    <w:tmpl w:val="D474E3EA"/>
    <w:lvl w:ilvl="0" w:tplc="86C24F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923393"/>
    <w:multiLevelType w:val="hybridMultilevel"/>
    <w:tmpl w:val="43AECD8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344F61"/>
    <w:multiLevelType w:val="hybridMultilevel"/>
    <w:tmpl w:val="2C68FE24"/>
    <w:lvl w:ilvl="0" w:tplc="BD6EDF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B0158A"/>
    <w:multiLevelType w:val="hybridMultilevel"/>
    <w:tmpl w:val="C5BC5B5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CE66FE"/>
    <w:multiLevelType w:val="hybridMultilevel"/>
    <w:tmpl w:val="B23C1A0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B8950CA"/>
    <w:multiLevelType w:val="hybridMultilevel"/>
    <w:tmpl w:val="9364FE5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AA4466"/>
    <w:multiLevelType w:val="hybridMultilevel"/>
    <w:tmpl w:val="9C200434"/>
    <w:lvl w:ilvl="0" w:tplc="276CCB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A8061D4"/>
    <w:multiLevelType w:val="hybridMultilevel"/>
    <w:tmpl w:val="6A22065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11302D3"/>
    <w:multiLevelType w:val="hybridMultilevel"/>
    <w:tmpl w:val="63E0005A"/>
    <w:lvl w:ilvl="0" w:tplc="64EC42A4">
      <w:start w:val="6"/>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AF6D20"/>
    <w:multiLevelType w:val="hybridMultilevel"/>
    <w:tmpl w:val="788E497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16E78B4"/>
    <w:multiLevelType w:val="hybridMultilevel"/>
    <w:tmpl w:val="A56CBF40"/>
    <w:lvl w:ilvl="0" w:tplc="4BDE04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565A55"/>
    <w:multiLevelType w:val="hybridMultilevel"/>
    <w:tmpl w:val="A364E57E"/>
    <w:lvl w:ilvl="0" w:tplc="6D140E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8D2095B"/>
    <w:multiLevelType w:val="hybridMultilevel"/>
    <w:tmpl w:val="4A46D73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A476EA8"/>
    <w:multiLevelType w:val="hybridMultilevel"/>
    <w:tmpl w:val="EE80242C"/>
    <w:lvl w:ilvl="0" w:tplc="F3AC92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0275B85"/>
    <w:multiLevelType w:val="hybridMultilevel"/>
    <w:tmpl w:val="F3129D02"/>
    <w:lvl w:ilvl="0" w:tplc="552875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CB7BA3"/>
    <w:multiLevelType w:val="hybridMultilevel"/>
    <w:tmpl w:val="3DB4A64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8B0554A"/>
    <w:multiLevelType w:val="hybridMultilevel"/>
    <w:tmpl w:val="45CC1504"/>
    <w:lvl w:ilvl="0" w:tplc="CA36ED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AFF5C20"/>
    <w:multiLevelType w:val="hybridMultilevel"/>
    <w:tmpl w:val="E834A150"/>
    <w:lvl w:ilvl="0" w:tplc="022EFF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CB1586A"/>
    <w:multiLevelType w:val="hybridMultilevel"/>
    <w:tmpl w:val="1F0C83E6"/>
    <w:lvl w:ilvl="0" w:tplc="64EC42A4">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42336425">
    <w:abstractNumId w:val="5"/>
  </w:num>
  <w:num w:numId="2" w16cid:durableId="219245132">
    <w:abstractNumId w:val="3"/>
  </w:num>
  <w:num w:numId="3" w16cid:durableId="1574777491">
    <w:abstractNumId w:val="6"/>
  </w:num>
  <w:num w:numId="4" w16cid:durableId="1295018583">
    <w:abstractNumId w:val="10"/>
  </w:num>
  <w:num w:numId="5" w16cid:durableId="1126705129">
    <w:abstractNumId w:val="15"/>
  </w:num>
  <w:num w:numId="6" w16cid:durableId="580795996">
    <w:abstractNumId w:val="18"/>
  </w:num>
  <w:num w:numId="7" w16cid:durableId="1371027372">
    <w:abstractNumId w:val="0"/>
  </w:num>
  <w:num w:numId="8" w16cid:durableId="175195982">
    <w:abstractNumId w:val="12"/>
  </w:num>
  <w:num w:numId="9" w16cid:durableId="584454701">
    <w:abstractNumId w:val="2"/>
  </w:num>
  <w:num w:numId="10" w16cid:durableId="550119599">
    <w:abstractNumId w:val="7"/>
  </w:num>
  <w:num w:numId="11" w16cid:durableId="90205828">
    <w:abstractNumId w:val="4"/>
  </w:num>
  <w:num w:numId="12" w16cid:durableId="221524134">
    <w:abstractNumId w:val="8"/>
  </w:num>
  <w:num w:numId="13" w16cid:durableId="697390890">
    <w:abstractNumId w:val="13"/>
  </w:num>
  <w:num w:numId="14" w16cid:durableId="638652000">
    <w:abstractNumId w:val="1"/>
  </w:num>
  <w:num w:numId="15" w16cid:durableId="1391659502">
    <w:abstractNumId w:val="21"/>
  </w:num>
  <w:num w:numId="16" w16cid:durableId="40516800">
    <w:abstractNumId w:val="11"/>
  </w:num>
  <w:num w:numId="17" w16cid:durableId="1115517331">
    <w:abstractNumId w:val="19"/>
  </w:num>
  <w:num w:numId="18" w16cid:durableId="822308177">
    <w:abstractNumId w:val="20"/>
  </w:num>
  <w:num w:numId="19" w16cid:durableId="683245304">
    <w:abstractNumId w:val="14"/>
  </w:num>
  <w:num w:numId="20" w16cid:durableId="1096555675">
    <w:abstractNumId w:val="9"/>
  </w:num>
  <w:num w:numId="21" w16cid:durableId="1996252848">
    <w:abstractNumId w:val="17"/>
  </w:num>
  <w:num w:numId="22" w16cid:durableId="1875536565">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rAwNzWzNDeyMLYwMbNQ0lEKTi0uzszPAykwrAUAx+5XcSwAAAA="/>
  </w:docVars>
  <w:rsids>
    <w:rsidRoot w:val="00DC789B"/>
    <w:rsid w:val="00005CDD"/>
    <w:rsid w:val="00011F2F"/>
    <w:rsid w:val="00021A01"/>
    <w:rsid w:val="00021D56"/>
    <w:rsid w:val="000374C9"/>
    <w:rsid w:val="0006153F"/>
    <w:rsid w:val="00061CEA"/>
    <w:rsid w:val="00066100"/>
    <w:rsid w:val="00072FC6"/>
    <w:rsid w:val="000857FB"/>
    <w:rsid w:val="000910A9"/>
    <w:rsid w:val="000D167C"/>
    <w:rsid w:val="001170BC"/>
    <w:rsid w:val="001259CA"/>
    <w:rsid w:val="00131426"/>
    <w:rsid w:val="0014234F"/>
    <w:rsid w:val="0017668B"/>
    <w:rsid w:val="00191876"/>
    <w:rsid w:val="001A2AFC"/>
    <w:rsid w:val="001A3B76"/>
    <w:rsid w:val="001A5D28"/>
    <w:rsid w:val="001B0F69"/>
    <w:rsid w:val="001C77EC"/>
    <w:rsid w:val="001D1C42"/>
    <w:rsid w:val="001D4B61"/>
    <w:rsid w:val="001E1139"/>
    <w:rsid w:val="001E36CC"/>
    <w:rsid w:val="0020401E"/>
    <w:rsid w:val="00227DCA"/>
    <w:rsid w:val="00247E51"/>
    <w:rsid w:val="00251C48"/>
    <w:rsid w:val="002B2A0A"/>
    <w:rsid w:val="002C57FD"/>
    <w:rsid w:val="002D7899"/>
    <w:rsid w:val="002E226A"/>
    <w:rsid w:val="00312056"/>
    <w:rsid w:val="0031493D"/>
    <w:rsid w:val="00333079"/>
    <w:rsid w:val="00335FFB"/>
    <w:rsid w:val="00351577"/>
    <w:rsid w:val="003564C1"/>
    <w:rsid w:val="003B4CA9"/>
    <w:rsid w:val="003C0587"/>
    <w:rsid w:val="003C2C2C"/>
    <w:rsid w:val="003C5968"/>
    <w:rsid w:val="00411436"/>
    <w:rsid w:val="0041410B"/>
    <w:rsid w:val="004141BE"/>
    <w:rsid w:val="004464DD"/>
    <w:rsid w:val="00484435"/>
    <w:rsid w:val="00484E1B"/>
    <w:rsid w:val="00496D43"/>
    <w:rsid w:val="004B7384"/>
    <w:rsid w:val="004D0BD4"/>
    <w:rsid w:val="004D37D2"/>
    <w:rsid w:val="004D761B"/>
    <w:rsid w:val="004D79B9"/>
    <w:rsid w:val="004F3E90"/>
    <w:rsid w:val="004F4CF2"/>
    <w:rsid w:val="00510F17"/>
    <w:rsid w:val="00532E07"/>
    <w:rsid w:val="005533AC"/>
    <w:rsid w:val="00562F0F"/>
    <w:rsid w:val="00565AA7"/>
    <w:rsid w:val="00587B81"/>
    <w:rsid w:val="0059414C"/>
    <w:rsid w:val="005A21C2"/>
    <w:rsid w:val="005D5787"/>
    <w:rsid w:val="005D77E4"/>
    <w:rsid w:val="005E5721"/>
    <w:rsid w:val="005F257A"/>
    <w:rsid w:val="00601F42"/>
    <w:rsid w:val="006117EF"/>
    <w:rsid w:val="00611C03"/>
    <w:rsid w:val="00635CEF"/>
    <w:rsid w:val="00644D02"/>
    <w:rsid w:val="0067013D"/>
    <w:rsid w:val="00672D26"/>
    <w:rsid w:val="006922A3"/>
    <w:rsid w:val="00696D57"/>
    <w:rsid w:val="006A69A3"/>
    <w:rsid w:val="006B0468"/>
    <w:rsid w:val="006C3B36"/>
    <w:rsid w:val="006E0F9C"/>
    <w:rsid w:val="006E5FB1"/>
    <w:rsid w:val="00702139"/>
    <w:rsid w:val="00702F92"/>
    <w:rsid w:val="00712727"/>
    <w:rsid w:val="00712BD0"/>
    <w:rsid w:val="00720C0D"/>
    <w:rsid w:val="00730B72"/>
    <w:rsid w:val="0074176E"/>
    <w:rsid w:val="00756D69"/>
    <w:rsid w:val="007729CE"/>
    <w:rsid w:val="007863D6"/>
    <w:rsid w:val="007A6AC5"/>
    <w:rsid w:val="0081608A"/>
    <w:rsid w:val="008173FC"/>
    <w:rsid w:val="00817DEC"/>
    <w:rsid w:val="0082153D"/>
    <w:rsid w:val="0083595C"/>
    <w:rsid w:val="00854653"/>
    <w:rsid w:val="00871604"/>
    <w:rsid w:val="008923AC"/>
    <w:rsid w:val="008A1EBC"/>
    <w:rsid w:val="008A5C98"/>
    <w:rsid w:val="008D080E"/>
    <w:rsid w:val="008E1F9E"/>
    <w:rsid w:val="008F34C0"/>
    <w:rsid w:val="00940770"/>
    <w:rsid w:val="00963055"/>
    <w:rsid w:val="00972E2B"/>
    <w:rsid w:val="0098026F"/>
    <w:rsid w:val="009A0E99"/>
    <w:rsid w:val="009B20BD"/>
    <w:rsid w:val="009B5989"/>
    <w:rsid w:val="009C6E4A"/>
    <w:rsid w:val="009D1D92"/>
    <w:rsid w:val="009F082A"/>
    <w:rsid w:val="00A0767B"/>
    <w:rsid w:val="00A31594"/>
    <w:rsid w:val="00A3633F"/>
    <w:rsid w:val="00A4352E"/>
    <w:rsid w:val="00A43E4D"/>
    <w:rsid w:val="00A4717E"/>
    <w:rsid w:val="00A5166B"/>
    <w:rsid w:val="00A5389C"/>
    <w:rsid w:val="00A62CFD"/>
    <w:rsid w:val="00AA6909"/>
    <w:rsid w:val="00AF3EE7"/>
    <w:rsid w:val="00B514AF"/>
    <w:rsid w:val="00B8352A"/>
    <w:rsid w:val="00BA31D4"/>
    <w:rsid w:val="00BA61C2"/>
    <w:rsid w:val="00BC3826"/>
    <w:rsid w:val="00BF36BD"/>
    <w:rsid w:val="00C060E2"/>
    <w:rsid w:val="00C4063A"/>
    <w:rsid w:val="00C45A0B"/>
    <w:rsid w:val="00C714AF"/>
    <w:rsid w:val="00C75379"/>
    <w:rsid w:val="00C85BD8"/>
    <w:rsid w:val="00CA2F12"/>
    <w:rsid w:val="00CA7508"/>
    <w:rsid w:val="00CB01A8"/>
    <w:rsid w:val="00CC53A0"/>
    <w:rsid w:val="00CD03F4"/>
    <w:rsid w:val="00CD2EBC"/>
    <w:rsid w:val="00CD3FCA"/>
    <w:rsid w:val="00CD66E1"/>
    <w:rsid w:val="00CE2A94"/>
    <w:rsid w:val="00D26541"/>
    <w:rsid w:val="00D41390"/>
    <w:rsid w:val="00D43A32"/>
    <w:rsid w:val="00D55C50"/>
    <w:rsid w:val="00D60E39"/>
    <w:rsid w:val="00D63484"/>
    <w:rsid w:val="00D82D23"/>
    <w:rsid w:val="00D91AA7"/>
    <w:rsid w:val="00DA3D6A"/>
    <w:rsid w:val="00DB5094"/>
    <w:rsid w:val="00DC165E"/>
    <w:rsid w:val="00DC789B"/>
    <w:rsid w:val="00DD2564"/>
    <w:rsid w:val="00DD6C79"/>
    <w:rsid w:val="00E2215B"/>
    <w:rsid w:val="00E844D8"/>
    <w:rsid w:val="00E918DB"/>
    <w:rsid w:val="00ED05BA"/>
    <w:rsid w:val="00EE57F4"/>
    <w:rsid w:val="00EF2333"/>
    <w:rsid w:val="00EF6102"/>
    <w:rsid w:val="00F02852"/>
    <w:rsid w:val="00F20B89"/>
    <w:rsid w:val="00F3696F"/>
    <w:rsid w:val="00F42011"/>
    <w:rsid w:val="00F7183A"/>
    <w:rsid w:val="00F94044"/>
    <w:rsid w:val="00FC2A37"/>
    <w:rsid w:val="00FC3A92"/>
    <w:rsid w:val="00FD16ED"/>
    <w:rsid w:val="00FE0A87"/>
    <w:rsid w:val="00FE38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77961"/>
  <w15:docId w15:val="{354A78E8-29F8-4114-B6B9-61A205717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789B"/>
    <w:pPr>
      <w:ind w:left="720"/>
      <w:contextualSpacing/>
    </w:pPr>
  </w:style>
  <w:style w:type="paragraph" w:styleId="Header">
    <w:name w:val="header"/>
    <w:basedOn w:val="Normal"/>
    <w:link w:val="HeaderChar"/>
    <w:uiPriority w:val="99"/>
    <w:unhideWhenUsed/>
    <w:rsid w:val="00125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59CA"/>
  </w:style>
  <w:style w:type="paragraph" w:styleId="Footer">
    <w:name w:val="footer"/>
    <w:basedOn w:val="Normal"/>
    <w:link w:val="FooterChar"/>
    <w:uiPriority w:val="99"/>
    <w:unhideWhenUsed/>
    <w:rsid w:val="00125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5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18C67B03AC6743A2766A6B4FDB7790" ma:contentTypeVersion="13" ma:contentTypeDescription="Create a new document." ma:contentTypeScope="" ma:versionID="3db8aabf6243da26e8af85df1bb4a875">
  <xsd:schema xmlns:xsd="http://www.w3.org/2001/XMLSchema" xmlns:xs="http://www.w3.org/2001/XMLSchema" xmlns:p="http://schemas.microsoft.com/office/2006/metadata/properties" xmlns:ns3="bc7fc06e-c656-47ae-97ac-687d694924b3" xmlns:ns4="b8759289-5418-4e52-88fe-acd8ad33b443" targetNamespace="http://schemas.microsoft.com/office/2006/metadata/properties" ma:root="true" ma:fieldsID="ad2fe29dd465235c86677bdec801164b" ns3:_="" ns4:_="">
    <xsd:import namespace="bc7fc06e-c656-47ae-97ac-687d694924b3"/>
    <xsd:import namespace="b8759289-5418-4e52-88fe-acd8ad33b4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7fc06e-c656-47ae-97ac-687d694924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8759289-5418-4e52-88fe-acd8ad33b4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A261BE-D3DF-4174-80C2-72CA324877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7fc06e-c656-47ae-97ac-687d694924b3"/>
    <ds:schemaRef ds:uri="b8759289-5418-4e52-88fe-acd8ad33b4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A7791B-4E3C-4F9C-934A-2894DACD2049}">
  <ds:schemaRefs>
    <ds:schemaRef ds:uri="http://schemas.openxmlformats.org/officeDocument/2006/bibliography"/>
  </ds:schemaRefs>
</ds:datastoreItem>
</file>

<file path=customXml/itemProps3.xml><?xml version="1.0" encoding="utf-8"?>
<ds:datastoreItem xmlns:ds="http://schemas.openxmlformats.org/officeDocument/2006/customXml" ds:itemID="{A2B30135-EAB0-4492-BBBE-6FF0F2552ED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863CB8E-2C61-4E4B-A6AD-370107FDCF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2</Pages>
  <Words>747</Words>
  <Characters>4259</Characters>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2022-06-30T00:53:00Z</cp:lastPrinted>
  <dcterms:created xsi:type="dcterms:W3CDTF">2025-05-22T11:35:00Z</dcterms:created>
  <dcterms:modified xsi:type="dcterms:W3CDTF">2025-06-24T15:42:00Z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0x0101004418C67B03AC6743A2766A6B4FDB7790</vt:lpwstr>
  </property>
</Properties>
</file>